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default" w:eastAsia="黑体" w:cs="Times New Roman"/>
          <w:sz w:val="32"/>
          <w:szCs w:val="32"/>
          <w:lang w:eastAsia="zh-CN"/>
        </w:rPr>
        <w:t>4</w:t>
      </w:r>
    </w:p>
    <w:p>
      <w:pPr>
        <w:spacing w:line="7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2020</w:t>
      </w:r>
      <w:r>
        <w:rPr>
          <w:rFonts w:hint="default" w:ascii="方正小标宋简体" w:hAnsi="仿宋" w:eastAsia="方正小标宋简体"/>
          <w:sz w:val="44"/>
          <w:szCs w:val="44"/>
        </w:rPr>
        <w:t>年度益阳市工商联</w:t>
      </w:r>
      <w:r>
        <w:rPr>
          <w:rFonts w:hint="eastAsia" w:ascii="方正小标宋简体" w:hAnsi="仿宋" w:eastAsia="方正小标宋简体"/>
          <w:sz w:val="44"/>
          <w:szCs w:val="44"/>
        </w:rPr>
        <w:t>整体支出绩效</w:t>
      </w:r>
    </w:p>
    <w:p>
      <w:pPr>
        <w:spacing w:line="7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自评报告</w:t>
      </w:r>
    </w:p>
    <w:p>
      <w:pPr>
        <w:spacing w:line="560" w:lineRule="exact"/>
        <w:rPr>
          <w:rFonts w:hint="eastAsia" w:ascii="仿宋" w:hAnsi="仿宋" w:eastAsia="仿宋"/>
          <w:sz w:val="36"/>
          <w:szCs w:val="36"/>
        </w:rPr>
      </w:pPr>
    </w:p>
    <w:p>
      <w:pPr>
        <w:numPr>
          <w:ilvl w:val="0"/>
          <w:numId w:val="1"/>
        </w:numPr>
        <w:ind w:firstLine="632" w:firstLineChars="200"/>
        <w:rPr>
          <w:rFonts w:hint="eastAsia" w:ascii="黑体" w:hAnsi="黑体" w:eastAsia="黑体"/>
          <w:szCs w:val="32"/>
        </w:rPr>
      </w:pPr>
      <w:r>
        <w:rPr>
          <w:rFonts w:hint="default" w:ascii="黑体" w:hAnsi="黑体" w:eastAsia="黑体"/>
          <w:szCs w:val="32"/>
        </w:rPr>
        <w:t>单位</w:t>
      </w:r>
      <w:r>
        <w:rPr>
          <w:rFonts w:hint="eastAsia" w:ascii="黑体" w:hAnsi="黑体" w:eastAsia="黑体"/>
          <w:szCs w:val="32"/>
        </w:rPr>
        <w:t>基本情况</w:t>
      </w:r>
    </w:p>
    <w:p>
      <w:pPr>
        <w:widowControl/>
        <w:spacing w:line="600" w:lineRule="exact"/>
        <w:ind w:firstLine="632" w:firstLineChars="200"/>
        <w:jc w:val="left"/>
        <w:rPr>
          <w:rFonts w:hint="default" w:ascii="仿宋_GB2312" w:hAnsi="仿宋" w:cs="Times New Roman"/>
          <w:szCs w:val="32"/>
        </w:rPr>
      </w:pPr>
      <w:r>
        <w:rPr>
          <w:rFonts w:hint="default" w:ascii="仿宋_GB2312" w:hAnsi="仿宋" w:cs="Times New Roman"/>
          <w:szCs w:val="32"/>
        </w:rPr>
        <w:t>益阳市工商联是参与政府事务和经济、社会重大决策的政治协商、民主监督；代表并维护会员的合法权益，反映会员的意见、要求和建议；为会员提供信息和科技、管理、法律、会计、融资、咨询、培训等服务；组织会员举办和参加各种对内对外展销会、交易会，组织会员出国、出境考察；帮助会员改善经营管理，完善各种规章制度，提高生产技术和产品质量；促进中外经济、技术和贸易的合作与交流，发展同香港、澳门特区和台湾地区及世界各国工商社区及工商界人士的联系，协助中外企业家实现互访考察。</w:t>
      </w:r>
    </w:p>
    <w:p>
      <w:pPr>
        <w:widowControl/>
        <w:spacing w:line="600" w:lineRule="exact"/>
        <w:ind w:firstLine="632" w:firstLineChars="200"/>
        <w:jc w:val="left"/>
        <w:rPr>
          <w:rFonts w:hint="default" w:ascii="仿宋_GB2312" w:hAnsi="仿宋" w:cs="Times New Roman"/>
          <w:szCs w:val="32"/>
        </w:rPr>
      </w:pPr>
      <w:r>
        <w:rPr>
          <w:rFonts w:hint="default" w:ascii="仿宋_GB2312" w:hAnsi="仿宋" w:cs="Times New Roman"/>
          <w:szCs w:val="32"/>
        </w:rPr>
        <w:t>工商联下设办公室、会员联络部、宣教部、市工商业联合会商协会党委、市非公有制经济服务中心。2021年有行政编制10人，工勤人员2人，事业编制4人，在职在岗16人，离退休人员3人，合计19人。</w:t>
      </w:r>
    </w:p>
    <w:p>
      <w:pPr>
        <w:widowControl/>
        <w:numPr>
          <w:ilvl w:val="0"/>
          <w:numId w:val="1"/>
        </w:numPr>
        <w:spacing w:line="600" w:lineRule="exact"/>
        <w:ind w:left="0" w:leftChars="0" w:firstLine="632" w:firstLineChars="200"/>
        <w:rPr>
          <w:rFonts w:ascii="黑体" w:hAnsi="黑体" w:eastAsia="黑体"/>
          <w:szCs w:val="32"/>
        </w:rPr>
      </w:pPr>
      <w:r>
        <w:rPr>
          <w:rFonts w:ascii="黑体" w:hAnsi="黑体" w:eastAsia="黑体"/>
          <w:szCs w:val="32"/>
        </w:rPr>
        <w:t>一般公共预算支出情况</w:t>
      </w:r>
    </w:p>
    <w:p>
      <w:pPr>
        <w:widowControl/>
        <w:spacing w:line="600" w:lineRule="exact"/>
        <w:ind w:firstLine="632" w:firstLineChars="200"/>
        <w:jc w:val="left"/>
        <w:rPr>
          <w:rFonts w:hint="default" w:ascii="仿宋_GB2312" w:hAnsi="仿宋" w:cs="Times New Roman"/>
          <w:szCs w:val="32"/>
        </w:rPr>
      </w:pPr>
      <w:r>
        <w:rPr>
          <w:rFonts w:hint="default" w:ascii="仿宋_GB2312" w:hAnsi="仿宋" w:cs="Times New Roman"/>
          <w:szCs w:val="32"/>
        </w:rPr>
        <w:t>我会2021年一般公共预算财政拨款收入573.88万元，上年结转10.02万元，一般公共预算支出583.91万元。</w:t>
      </w:r>
    </w:p>
    <w:p>
      <w:pPr>
        <w:widowControl/>
        <w:numPr>
          <w:ilvl w:val="0"/>
          <w:numId w:val="2"/>
        </w:numPr>
        <w:spacing w:line="600" w:lineRule="exact"/>
        <w:ind w:firstLine="632" w:firstLineChars="200"/>
        <w:rPr>
          <w:rFonts w:hint="eastAsia" w:ascii="楷体_GB2312" w:hAnsi="仿宋" w:eastAsia="楷体_GB2312"/>
          <w:szCs w:val="32"/>
        </w:rPr>
      </w:pPr>
      <w:r>
        <w:rPr>
          <w:rFonts w:hint="eastAsia" w:ascii="楷体_GB2312" w:hAnsi="仿宋" w:eastAsia="楷体_GB2312"/>
          <w:szCs w:val="32"/>
        </w:rPr>
        <w:t>基本支出情况</w:t>
      </w:r>
    </w:p>
    <w:p>
      <w:pPr>
        <w:widowControl/>
        <w:spacing w:line="600" w:lineRule="exact"/>
        <w:ind w:firstLine="632" w:firstLineChars="200"/>
        <w:jc w:val="left"/>
        <w:rPr>
          <w:rFonts w:hint="default" w:ascii="仿宋_GB2312" w:hAnsi="仿宋" w:cs="Times New Roman"/>
          <w:szCs w:val="32"/>
        </w:rPr>
      </w:pPr>
      <w:r>
        <w:rPr>
          <w:rFonts w:hint="default" w:ascii="仿宋_GB2312" w:hAnsi="仿宋" w:cs="Times New Roman"/>
          <w:szCs w:val="32"/>
        </w:rPr>
        <w:t>我会2020年一般公共预算财政拨款基本支出</w:t>
      </w:r>
      <w:r>
        <w:rPr>
          <w:rFonts w:hint="default" w:ascii="仿宋_GB2312" w:hAnsi="仿宋" w:cs="Times New Roman"/>
          <w:szCs w:val="32"/>
          <w:highlight w:val="none"/>
        </w:rPr>
        <w:t>314.03</w:t>
      </w:r>
      <w:r>
        <w:rPr>
          <w:rFonts w:hint="default" w:ascii="仿宋_GB2312" w:hAnsi="仿宋" w:cs="Times New Roman"/>
          <w:szCs w:val="32"/>
        </w:rPr>
        <w:t>万元，其中人员支出224.07万元，公用经费89.96万元。</w:t>
      </w:r>
    </w:p>
    <w:p>
      <w:pPr>
        <w:widowControl/>
        <w:spacing w:line="600" w:lineRule="exact"/>
        <w:ind w:firstLine="632" w:firstLineChars="200"/>
        <w:jc w:val="left"/>
        <w:rPr>
          <w:rFonts w:hint="default" w:ascii="仿宋_GB2312" w:hAnsi="仿宋" w:cs="Times New Roman"/>
          <w:szCs w:val="32"/>
        </w:rPr>
      </w:pPr>
      <w:r>
        <w:rPr>
          <w:rFonts w:hint="default" w:ascii="仿宋_GB2312" w:hAnsi="仿宋" w:cs="Times New Roman"/>
          <w:szCs w:val="32"/>
        </w:rPr>
        <w:t>人员支出具体为：在职人员基本工资68.99万元，津贴补贴31.77万元，奖金22.12万元，绩效工作33.45万元，养老、医疗保险等缴费32.32万元，住房公积金20.30万元，其他工资福利支出5.4万元，退休费5.78万元，生活补助3.18万元，其他对个人和家庭的补助0.75万元。</w:t>
      </w:r>
    </w:p>
    <w:p>
      <w:pPr>
        <w:widowControl/>
        <w:spacing w:line="600" w:lineRule="exact"/>
        <w:ind w:firstLine="632" w:firstLineChars="200"/>
        <w:jc w:val="left"/>
        <w:rPr>
          <w:rFonts w:hint="default" w:ascii="仿宋_GB2312" w:hAnsi="仿宋" w:cs="Times New Roman"/>
          <w:szCs w:val="32"/>
        </w:rPr>
      </w:pPr>
      <w:r>
        <w:rPr>
          <w:rFonts w:hint="default" w:ascii="仿宋_GB2312" w:hAnsi="仿宋" w:cs="Times New Roman"/>
          <w:szCs w:val="32"/>
        </w:rPr>
        <w:t>公用经费支出具体为：办公费3.88万元，印刷费4.33万元，水电费2.3万元，邮电费0.81万元，物业管理费6.31万元，差旅费9.20万元，维修费4.16万元，会议费1.95万元，培训费0.12万元，公务接待费2.7万元，劳务费3.45万元，工会经费5.9万元，福利费10.36万元，公务用车运行维护费2.57万元，其他交通费用18.03万元，其他商品和服务支出5.71万元，办公设备购置8.18万元。</w:t>
      </w:r>
    </w:p>
    <w:p>
      <w:pPr>
        <w:widowControl/>
        <w:numPr>
          <w:ilvl w:val="0"/>
          <w:numId w:val="2"/>
        </w:numPr>
        <w:spacing w:line="600" w:lineRule="exact"/>
        <w:ind w:left="0" w:leftChars="0" w:firstLine="632" w:firstLineChars="200"/>
        <w:rPr>
          <w:rFonts w:ascii="楷体_GB2312" w:hAnsi="仿宋" w:eastAsia="楷体_GB2312"/>
          <w:szCs w:val="32"/>
        </w:rPr>
      </w:pPr>
      <w:r>
        <w:rPr>
          <w:rFonts w:ascii="楷体_GB2312" w:hAnsi="仿宋" w:eastAsia="楷体_GB2312"/>
          <w:szCs w:val="32"/>
        </w:rPr>
        <w:t>项目支出情况</w:t>
      </w:r>
    </w:p>
    <w:p>
      <w:pPr>
        <w:widowControl/>
        <w:spacing w:line="600" w:lineRule="exact"/>
        <w:ind w:firstLine="632" w:firstLineChars="200"/>
        <w:jc w:val="left"/>
        <w:rPr>
          <w:rFonts w:hint="default" w:ascii="仿宋_GB2312" w:hAnsi="仿宋" w:cs="Times New Roman"/>
          <w:szCs w:val="32"/>
        </w:rPr>
      </w:pPr>
      <w:r>
        <w:rPr>
          <w:rFonts w:hint="default" w:ascii="仿宋_GB2312" w:hAnsi="仿宋" w:cs="Times New Roman"/>
          <w:szCs w:val="32"/>
        </w:rPr>
        <w:t>我会2021年一般公共预算财政拨款项目经费收入</w:t>
      </w:r>
      <w:r>
        <w:rPr>
          <w:rFonts w:hint="default" w:ascii="仿宋_GB2312" w:hAnsi="仿宋" w:cs="Times New Roman"/>
          <w:szCs w:val="32"/>
          <w:highlight w:val="none"/>
        </w:rPr>
        <w:t>269.88</w:t>
      </w:r>
      <w:r>
        <w:rPr>
          <w:rFonts w:hint="default" w:ascii="仿宋_GB2312" w:hAnsi="仿宋" w:cs="Times New Roman"/>
          <w:szCs w:val="32"/>
        </w:rPr>
        <w:t>万元，项目支出269.88万元，</w:t>
      </w:r>
      <w:r>
        <w:rPr>
          <w:rFonts w:hint="default" w:ascii="仿宋_GB2312" w:hAnsi="仿宋" w:cs="Times New Roman"/>
          <w:szCs w:val="32"/>
          <w:highlight w:val="none"/>
        </w:rPr>
        <w:t>年末无结转</w:t>
      </w:r>
      <w:r>
        <w:rPr>
          <w:rFonts w:hint="default" w:ascii="仿宋_GB2312" w:hAnsi="仿宋" w:cs="Times New Roman"/>
          <w:szCs w:val="32"/>
        </w:rPr>
        <w:t>。</w:t>
      </w:r>
    </w:p>
    <w:p>
      <w:pPr>
        <w:widowControl/>
        <w:numPr>
          <w:ilvl w:val="0"/>
          <w:numId w:val="1"/>
        </w:numPr>
        <w:spacing w:line="600" w:lineRule="exact"/>
        <w:ind w:left="0" w:leftChars="0" w:firstLine="632" w:firstLineChars="200"/>
        <w:jc w:val="left"/>
        <w:rPr>
          <w:rFonts w:ascii="黑体" w:hAnsi="黑体" w:eastAsia="黑体"/>
          <w:szCs w:val="32"/>
        </w:rPr>
      </w:pPr>
      <w:r>
        <w:rPr>
          <w:rFonts w:ascii="黑体" w:hAnsi="黑体" w:eastAsia="黑体"/>
          <w:szCs w:val="32"/>
        </w:rPr>
        <w:t>政府性基金预算支出情况</w:t>
      </w:r>
    </w:p>
    <w:p>
      <w:pPr>
        <w:widowControl/>
        <w:numPr>
          <w:ilvl w:val="0"/>
          <w:numId w:val="0"/>
        </w:numPr>
        <w:spacing w:line="600" w:lineRule="exact"/>
        <w:ind w:leftChars="200"/>
        <w:jc w:val="left"/>
        <w:rPr>
          <w:rFonts w:hint="default" w:ascii="黑体" w:hAnsi="黑体" w:eastAsia="黑体"/>
          <w:szCs w:val="32"/>
        </w:rPr>
      </w:pPr>
      <w:r>
        <w:rPr>
          <w:rFonts w:hint="default" w:ascii="仿宋_GB2312" w:hAnsi="仿宋" w:cs="Times New Roman"/>
          <w:szCs w:val="32"/>
        </w:rPr>
        <w:t>我会无政府性基金预算支出。</w:t>
      </w:r>
    </w:p>
    <w:p>
      <w:pPr>
        <w:widowControl/>
        <w:numPr>
          <w:ilvl w:val="0"/>
          <w:numId w:val="1"/>
        </w:numPr>
        <w:spacing w:line="600" w:lineRule="exact"/>
        <w:ind w:left="0" w:leftChars="0" w:firstLine="632" w:firstLineChars="200"/>
        <w:jc w:val="left"/>
        <w:rPr>
          <w:rFonts w:ascii="黑体" w:hAnsi="黑体" w:eastAsia="黑体"/>
          <w:szCs w:val="32"/>
        </w:rPr>
      </w:pPr>
      <w:r>
        <w:rPr>
          <w:rFonts w:ascii="黑体" w:hAnsi="黑体" w:eastAsia="黑体"/>
          <w:szCs w:val="32"/>
        </w:rPr>
        <w:t>国有资本经营预算支出情况</w:t>
      </w:r>
    </w:p>
    <w:p>
      <w:pPr>
        <w:widowControl/>
        <w:numPr>
          <w:ilvl w:val="0"/>
          <w:numId w:val="0"/>
        </w:numPr>
        <w:spacing w:line="600" w:lineRule="exact"/>
        <w:ind w:leftChars="200"/>
        <w:jc w:val="left"/>
        <w:rPr>
          <w:rFonts w:hint="default" w:ascii="黑体" w:hAnsi="黑体" w:eastAsia="黑体"/>
          <w:szCs w:val="32"/>
        </w:rPr>
      </w:pPr>
      <w:r>
        <w:rPr>
          <w:rFonts w:hint="default" w:ascii="仿宋_GB2312" w:hAnsi="仿宋" w:cs="Times New Roman"/>
          <w:szCs w:val="32"/>
        </w:rPr>
        <w:t>我会无国有资本经营预算支出。</w:t>
      </w:r>
    </w:p>
    <w:p>
      <w:pPr>
        <w:widowControl/>
        <w:numPr>
          <w:ilvl w:val="0"/>
          <w:numId w:val="1"/>
        </w:numPr>
        <w:spacing w:line="600" w:lineRule="exact"/>
        <w:ind w:left="0" w:leftChars="0" w:firstLine="632" w:firstLineChars="200"/>
        <w:jc w:val="left"/>
        <w:rPr>
          <w:rFonts w:ascii="黑体" w:hAnsi="黑体" w:eastAsia="黑体"/>
          <w:szCs w:val="32"/>
        </w:rPr>
      </w:pPr>
      <w:r>
        <w:rPr>
          <w:rFonts w:ascii="黑体" w:hAnsi="黑体" w:eastAsia="黑体"/>
          <w:szCs w:val="32"/>
        </w:rPr>
        <w:t>社会保险基金预算支出情况</w:t>
      </w:r>
    </w:p>
    <w:p>
      <w:pPr>
        <w:widowControl/>
        <w:numPr>
          <w:ilvl w:val="0"/>
          <w:numId w:val="0"/>
        </w:numPr>
        <w:spacing w:line="600" w:lineRule="exact"/>
        <w:ind w:leftChars="200"/>
        <w:jc w:val="left"/>
        <w:rPr>
          <w:rFonts w:ascii="黑体" w:hAnsi="黑体" w:eastAsia="黑体"/>
          <w:szCs w:val="32"/>
        </w:rPr>
      </w:pPr>
      <w:r>
        <w:rPr>
          <w:rFonts w:hint="default" w:ascii="仿宋_GB2312" w:hAnsi="仿宋" w:cs="Times New Roman"/>
          <w:szCs w:val="32"/>
        </w:rPr>
        <w:t>我会无社会保险基金预算支出。</w:t>
      </w:r>
    </w:p>
    <w:p>
      <w:pPr>
        <w:widowControl/>
        <w:numPr>
          <w:ilvl w:val="0"/>
          <w:numId w:val="1"/>
        </w:numPr>
        <w:spacing w:line="600" w:lineRule="exact"/>
        <w:ind w:left="0" w:leftChars="0" w:firstLine="632" w:firstLineChars="200"/>
        <w:jc w:val="left"/>
        <w:rPr>
          <w:rFonts w:ascii="黑体" w:hAnsi="黑体" w:eastAsia="黑体"/>
          <w:szCs w:val="32"/>
        </w:rPr>
      </w:pPr>
      <w:r>
        <w:rPr>
          <w:rFonts w:ascii="黑体" w:hAnsi="黑体" w:eastAsia="黑体"/>
          <w:szCs w:val="32"/>
        </w:rPr>
        <w:t>部门整体支出绩效情况</w:t>
      </w:r>
    </w:p>
    <w:p>
      <w:pPr>
        <w:widowControl/>
        <w:numPr>
          <w:ilvl w:val="0"/>
          <w:numId w:val="0"/>
        </w:numPr>
        <w:spacing w:line="600" w:lineRule="exact"/>
        <w:ind w:firstLine="632" w:firstLineChars="200"/>
        <w:jc w:val="left"/>
        <w:rPr>
          <w:rFonts w:hint="default" w:ascii="仿宋_GB2312" w:hAnsi="仿宋" w:cs="Times New Roman"/>
          <w:szCs w:val="32"/>
          <w:lang w:val="en-US" w:eastAsia="zh-CN"/>
        </w:rPr>
      </w:pPr>
      <w:r>
        <w:rPr>
          <w:rFonts w:ascii="仿宋_GB2312" w:hAnsi="Arial" w:cs="仿宋_GB2312"/>
          <w:color w:val="333333"/>
          <w:kern w:val="0"/>
          <w:szCs w:val="32"/>
          <w:shd w:val="clear" w:color="auto" w:fill="FCFCFC"/>
        </w:rPr>
        <w:t>2</w:t>
      </w:r>
      <w:r>
        <w:rPr>
          <w:rFonts w:hint="default" w:ascii="仿宋_GB2312" w:hAnsi="仿宋" w:cs="Times New Roman"/>
          <w:szCs w:val="32"/>
          <w:lang w:val="en-US" w:eastAsia="zh-CN"/>
        </w:rPr>
        <w:t>0</w:t>
      </w:r>
      <w:r>
        <w:rPr>
          <w:rFonts w:hint="eastAsia" w:ascii="仿宋_GB2312" w:hAnsi="仿宋" w:cs="Times New Roman"/>
          <w:szCs w:val="32"/>
          <w:lang w:val="en-US" w:eastAsia="zh-CN"/>
        </w:rPr>
        <w:t>2</w:t>
      </w:r>
      <w:r>
        <w:rPr>
          <w:rFonts w:hint="default" w:ascii="仿宋_GB2312" w:hAnsi="仿宋" w:cs="Times New Roman"/>
          <w:szCs w:val="32"/>
          <w:lang w:eastAsia="zh-CN"/>
        </w:rPr>
        <w:t>1</w:t>
      </w:r>
      <w:r>
        <w:rPr>
          <w:rFonts w:hint="default" w:ascii="仿宋_GB2312" w:hAnsi="仿宋" w:cs="Times New Roman"/>
          <w:szCs w:val="32"/>
          <w:lang w:val="en-US" w:eastAsia="zh-CN"/>
        </w:rPr>
        <w:t>年我会整体支出</w:t>
      </w:r>
      <w:r>
        <w:rPr>
          <w:rFonts w:hint="default" w:ascii="仿宋_GB2312" w:hAnsi="仿宋" w:cs="Times New Roman"/>
          <w:szCs w:val="32"/>
          <w:lang w:eastAsia="zh-CN"/>
        </w:rPr>
        <w:t>584.91</w:t>
      </w:r>
      <w:r>
        <w:rPr>
          <w:rFonts w:hint="default" w:ascii="仿宋_GB2312" w:hAnsi="仿宋" w:cs="Times New Roman"/>
          <w:szCs w:val="32"/>
          <w:lang w:val="en-US" w:eastAsia="zh-CN"/>
        </w:rPr>
        <w:t>万元（其中，基本支出</w:t>
      </w:r>
      <w:r>
        <w:rPr>
          <w:rFonts w:hint="default" w:ascii="仿宋_GB2312" w:hAnsi="仿宋" w:cs="Times New Roman"/>
          <w:szCs w:val="32"/>
          <w:lang w:eastAsia="zh-CN"/>
        </w:rPr>
        <w:t>315.03</w:t>
      </w:r>
      <w:r>
        <w:rPr>
          <w:rFonts w:hint="eastAsia" w:ascii="仿宋_GB2312" w:hAnsi="仿宋" w:cs="Times New Roman"/>
          <w:szCs w:val="32"/>
          <w:lang w:val="en-US" w:eastAsia="zh-CN"/>
        </w:rPr>
        <w:t xml:space="preserve">  </w:t>
      </w:r>
      <w:r>
        <w:rPr>
          <w:rFonts w:hint="default" w:ascii="仿宋_GB2312" w:hAnsi="仿宋" w:cs="Times New Roman"/>
          <w:szCs w:val="32"/>
          <w:lang w:val="en-US" w:eastAsia="zh-CN"/>
        </w:rPr>
        <w:t>万元，项目支出</w:t>
      </w:r>
      <w:r>
        <w:rPr>
          <w:rFonts w:hint="default" w:ascii="仿宋_GB2312" w:hAnsi="仿宋" w:cs="Times New Roman"/>
          <w:szCs w:val="32"/>
          <w:lang w:eastAsia="zh-CN"/>
        </w:rPr>
        <w:t>269.88</w:t>
      </w:r>
      <w:r>
        <w:rPr>
          <w:rFonts w:hint="default" w:ascii="仿宋_GB2312" w:hAnsi="仿宋" w:cs="Times New Roman"/>
          <w:szCs w:val="32"/>
          <w:lang w:val="en-US" w:eastAsia="zh-CN"/>
        </w:rPr>
        <w:t>万元）。20</w:t>
      </w:r>
      <w:r>
        <w:rPr>
          <w:rFonts w:hint="eastAsia" w:ascii="仿宋_GB2312" w:hAnsi="仿宋" w:cs="Times New Roman"/>
          <w:szCs w:val="32"/>
          <w:lang w:val="en-US" w:eastAsia="zh-CN"/>
        </w:rPr>
        <w:t>2</w:t>
      </w:r>
      <w:r>
        <w:rPr>
          <w:rFonts w:hint="default" w:ascii="仿宋_GB2312" w:hAnsi="仿宋" w:cs="Times New Roman"/>
          <w:szCs w:val="32"/>
          <w:lang w:eastAsia="zh-CN"/>
        </w:rPr>
        <w:t>1</w:t>
      </w:r>
      <w:r>
        <w:rPr>
          <w:rFonts w:hint="default" w:ascii="仿宋_GB2312" w:hAnsi="仿宋" w:cs="Times New Roman"/>
          <w:szCs w:val="32"/>
          <w:lang w:val="en-US" w:eastAsia="zh-CN"/>
        </w:rPr>
        <w:t>年基本支出保障了单位人员工资福利支出、对个</w:t>
      </w:r>
      <w:r>
        <w:rPr>
          <w:rFonts w:hint="default" w:ascii="仿宋_GB2312" w:hAnsi="仿宋" w:cs="Times New Roman"/>
          <w:szCs w:val="32"/>
          <w:lang w:eastAsia="zh-CN"/>
        </w:rPr>
        <w:t>人</w:t>
      </w:r>
      <w:r>
        <w:rPr>
          <w:rFonts w:hint="default" w:ascii="仿宋_GB2312" w:hAnsi="仿宋" w:cs="Times New Roman"/>
          <w:szCs w:val="32"/>
          <w:lang w:val="en-US" w:eastAsia="zh-CN"/>
        </w:rPr>
        <w:t>和家庭的补助、会机关正常运转和完成日常工作任务的需要。20</w:t>
      </w:r>
      <w:r>
        <w:rPr>
          <w:rFonts w:hint="eastAsia" w:ascii="仿宋_GB2312" w:hAnsi="仿宋" w:cs="Times New Roman"/>
          <w:szCs w:val="32"/>
          <w:lang w:val="en-US" w:eastAsia="zh-CN"/>
        </w:rPr>
        <w:t>2</w:t>
      </w:r>
      <w:r>
        <w:rPr>
          <w:rFonts w:hint="default" w:ascii="仿宋_GB2312" w:hAnsi="仿宋" w:cs="Times New Roman"/>
          <w:szCs w:val="32"/>
          <w:lang w:eastAsia="zh-CN"/>
        </w:rPr>
        <w:t>1</w:t>
      </w:r>
      <w:r>
        <w:rPr>
          <w:rFonts w:hint="default" w:ascii="仿宋_GB2312" w:hAnsi="仿宋" w:cs="Times New Roman"/>
          <w:szCs w:val="32"/>
          <w:lang w:val="en-US" w:eastAsia="zh-CN"/>
        </w:rPr>
        <w:t>年项目支出完成了各项</w:t>
      </w:r>
      <w:r>
        <w:rPr>
          <w:rFonts w:hint="default" w:ascii="仿宋_GB2312" w:hAnsi="仿宋" w:cs="Times New Roman"/>
          <w:szCs w:val="32"/>
          <w:lang w:eastAsia="zh-CN"/>
        </w:rPr>
        <w:t>项目活动开展</w:t>
      </w:r>
      <w:r>
        <w:rPr>
          <w:rFonts w:hint="default" w:ascii="仿宋_GB2312" w:hAnsi="仿宋" w:cs="Times New Roman"/>
          <w:szCs w:val="32"/>
          <w:lang w:val="en-US" w:eastAsia="zh-CN"/>
        </w:rPr>
        <w:t>的需要。</w:t>
      </w:r>
    </w:p>
    <w:p>
      <w:pPr>
        <w:widowControl/>
        <w:numPr>
          <w:ilvl w:val="0"/>
          <w:numId w:val="0"/>
        </w:numPr>
        <w:spacing w:line="600" w:lineRule="exact"/>
        <w:ind w:firstLine="632" w:firstLineChars="200"/>
        <w:jc w:val="left"/>
        <w:rPr>
          <w:rFonts w:hint="default" w:ascii="仿宋_GB2312" w:hAnsi="仿宋" w:cs="Times New Roman"/>
          <w:szCs w:val="32"/>
          <w:lang w:val="en-US" w:eastAsia="zh-CN"/>
        </w:rPr>
      </w:pPr>
      <w:r>
        <w:rPr>
          <w:rFonts w:hint="default" w:ascii="仿宋_GB2312" w:hAnsi="仿宋" w:cs="Times New Roman"/>
          <w:szCs w:val="32"/>
          <w:lang w:val="en-US" w:eastAsia="zh-CN"/>
        </w:rPr>
        <w:t>从整体情况来看，我单位严格按照预算进行部门整体支出。</w:t>
      </w:r>
      <w:r>
        <w:rPr>
          <w:rFonts w:hint="eastAsia" w:ascii="仿宋_GB2312" w:hAnsi="仿宋" w:cs="Times New Roman"/>
          <w:szCs w:val="32"/>
          <w:lang w:val="en-US" w:eastAsia="zh-CN"/>
        </w:rPr>
        <w:t>全年紧</w:t>
      </w:r>
      <w:r>
        <w:rPr>
          <w:rFonts w:hint="default" w:ascii="仿宋_GB2312" w:hAnsi="仿宋" w:cs="Times New Roman"/>
          <w:szCs w:val="32"/>
          <w:lang w:eastAsia="zh-CN"/>
        </w:rPr>
        <w:t>扣会员服务工作、招商引资、商协会党建</w:t>
      </w:r>
      <w:r>
        <w:rPr>
          <w:rFonts w:hint="eastAsia" w:ascii="仿宋_GB2312" w:hAnsi="仿宋" w:cs="Times New Roman"/>
          <w:szCs w:val="32"/>
          <w:lang w:val="en-US" w:eastAsia="zh-CN"/>
        </w:rPr>
        <w:t>等工作重点，各项工作取得了一定成绩，具体完成情况如下：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ascii="仿宋_GB2312" w:hAnsi="仿宋" w:cs="Times New Roman"/>
          <w:szCs w:val="32"/>
          <w:lang w:val="en-US" w:eastAsia="zh-CN"/>
        </w:rPr>
      </w:pPr>
      <w:r>
        <w:rPr>
          <w:rFonts w:hint="eastAsia" w:ascii="方正楷体_GBK" w:hAnsi="方正楷体_GBK" w:eastAsia="方正楷体_GBK" w:cs="方正楷体_GBK"/>
          <w:sz w:val="32"/>
          <w:szCs w:val="32"/>
          <w:lang w:val="en-US" w:eastAsia="zh-CN"/>
        </w:rPr>
        <w:t>一是圆满完成换届任务。</w:t>
      </w:r>
      <w:r>
        <w:rPr>
          <w:rFonts w:hint="eastAsia" w:ascii="仿宋_GB2312" w:hAnsi="仿宋" w:cs="Times New Roman"/>
          <w:szCs w:val="32"/>
          <w:lang w:val="en-US" w:eastAsia="zh-CN"/>
        </w:rPr>
        <w:t>召开了市工商联第七次代表大会，高票选举产生了新一届领导班子——主席（会长）1名、副主席（副会长）2名、企业家副主席12人、企业家副会长17人。新一届常委会组成人员结构更优化，一大批政治素养高、行业代表性强、社会影响好、参政议政能力强的优秀企业家进入市工商联队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lang w:val="en-US" w:eastAsia="zh-CN"/>
        </w:rPr>
      </w:pPr>
      <w:r>
        <w:rPr>
          <w:rFonts w:hint="default"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lang w:val="en-US" w:eastAsia="zh-CN"/>
        </w:rPr>
        <w:t>是全力推进乡村振兴。</w:t>
      </w:r>
      <w:r>
        <w:rPr>
          <w:rFonts w:hint="eastAsia" w:ascii="仿宋_GB2312" w:hAnsi="仿宋" w:cs="Times New Roman"/>
          <w:szCs w:val="32"/>
          <w:lang w:val="en-US" w:eastAsia="zh-CN"/>
        </w:rPr>
        <w:t>深入开展乡村振兴专题调研，来自北京、深圳、珠海、惠州等地的9位异地益阳商会领导，受市工商联邀请，围绕乡村振兴主题，进行了考察和座谈。长沙益阳商会赴桃江开展乡村振兴座谈会，市工商联书记陈孟球率队赴广东省调研考察当地乡村振兴开展情况以及产业振兴模式，主动加强与先进发达地区的沟通交流，学习借鉴先进经验做法。在充分调研的基础上，与市乡村振兴局召开座谈会共同研讨《益阳市“万企兴万村”行动实施方案》，提出了符合我市实际的行动计划，并将以乡村振兴领导小组的名义下发方案，将方案执行情况纳入各单位年度绩效考核。方案明确了未来三至五年的努力方向——启动会员企业、直属商协会、异地商会结对帮扶行动计划，打造一批民营企业参与乡村振兴的典型，在全市范围内创建和发展20个具有特色产业的重点示范村。多措并举助力乡村振兴，广东、深圳、东莞、中山、郴州等地的益阳商会，积极开展“助教奖学促乡村振兴”等活动，累计捐赠款项200多万元。市工商联作为56个后盾单位之一，认真贯彻落实上级工作指示，安排专人负责驻村帮扶工作，分管领导带队赴责任帮扶村--乐安镇葡萄村、张家仙湖村进行了工作对接，已筹集帮扶资金10万元，拨付给葡萄村用于乡村振兴有关项目建设。机关党支部组织全体党员干部先后赴葡萄村开展“我为群众办实事”主题党日活动和“爱心妈妈”结对关爱留守儿童活动，给当地困难群众送去关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 w:cs="Times New Roman"/>
          <w:szCs w:val="32"/>
          <w:lang w:val="en-US" w:eastAsia="zh-CN"/>
        </w:rPr>
      </w:pPr>
      <w:r>
        <w:rPr>
          <w:rFonts w:hint="default"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lang w:val="en-US" w:eastAsia="zh-CN"/>
        </w:rPr>
        <w:t>是全力推进招商引资</w:t>
      </w:r>
      <w:r>
        <w:rPr>
          <w:rFonts w:hint="eastAsia" w:ascii="方正仿宋_GBK" w:hAnsi="方正仿宋_GBK" w:eastAsia="方正仿宋_GBK" w:cs="方正仿宋_GBK"/>
          <w:sz w:val="32"/>
          <w:szCs w:val="32"/>
          <w:lang w:val="en-US" w:eastAsia="zh-CN"/>
        </w:rPr>
        <w:t>。</w:t>
      </w:r>
      <w:r>
        <w:rPr>
          <w:rFonts w:hint="eastAsia" w:ascii="仿宋_GB2312" w:hAnsi="仿宋" w:cs="Times New Roman"/>
          <w:szCs w:val="32"/>
          <w:lang w:val="en-US" w:eastAsia="zh-CN"/>
        </w:rPr>
        <w:t>承担了市人民政府出席2021中国民营企业500强峰会暨全国知名民营企业助推湖南实施“三高四新”战略大会和第十届全球湘商大会的方案起草和总联络工作。依托22家异地益阳商会“驻外办事处”的重要功能，先后组织深圳益阳商会、深圳安化商会、东莞、天津、武汉等异地益阳商会回家乡投资考察，有效对接招商项目9个。</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 w:cs="Times New Roman"/>
          <w:szCs w:val="32"/>
          <w:lang w:val="en-US" w:eastAsia="zh-CN"/>
        </w:rPr>
      </w:pPr>
      <w:r>
        <w:rPr>
          <w:rFonts w:hint="default"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lang w:val="en-US" w:eastAsia="zh-CN"/>
        </w:rPr>
        <w:t>是促推“五好”县级工商联全覆盖。</w:t>
      </w:r>
      <w:r>
        <w:rPr>
          <w:rFonts w:hint="eastAsia" w:ascii="仿宋_GB2312" w:hAnsi="仿宋" w:cs="Times New Roman"/>
          <w:szCs w:val="32"/>
          <w:lang w:val="en-US" w:eastAsia="zh-CN"/>
        </w:rPr>
        <w:t>结合实际，加强对县级工商联的协调指导，全面开展争创“五好”县级工商联创建工作。沅江市工商联、安化县工商联获评2020年全省“五好”县级工商联后，今年安化县、沅江市、桃江县、资阳区工商联又分别提交了创建材料，为县级工商联提振了信心，凝聚了共识，指明了方向，全市县级工商联组织呈现了发展好势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方正仿宋_GBK" w:hAnsi="方正仿宋_GBK" w:eastAsia="方正仿宋_GBK" w:cs="方正仿宋_GBK"/>
          <w:sz w:val="32"/>
          <w:szCs w:val="32"/>
          <w:lang w:val="en-US" w:eastAsia="zh-CN"/>
        </w:rPr>
      </w:pPr>
      <w:r>
        <w:rPr>
          <w:rFonts w:hint="default"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lang w:val="en-US" w:eastAsia="zh-CN"/>
        </w:rPr>
        <w:t>是指导本地商协会发展壮大。</w:t>
      </w:r>
      <w:r>
        <w:rPr>
          <w:rFonts w:hint="eastAsia" w:ascii="仿宋_GB2312" w:hAnsi="仿宋" w:cs="Times New Roman"/>
          <w:szCs w:val="32"/>
          <w:lang w:val="en-US" w:eastAsia="zh-CN"/>
        </w:rPr>
        <w:t>在商协会建设方面，始终把培育特色产业商会作为组织建设的重点，注意吸收代表性强、具有一定影响力的行业商协会作为团体会员加入工商联组织。指导益阳市米面油豆类食品企业商会顺利换届，指导益阳市钢结构协会和益阳市冻品协会成立，商会发展呈现你追我赶势头。</w:t>
      </w:r>
    </w:p>
    <w:p>
      <w:pPr>
        <w:widowControl w:val="0"/>
        <w:spacing w:after="0" w:line="600" w:lineRule="exact"/>
        <w:ind w:firstLine="632" w:firstLineChars="200"/>
        <w:jc w:val="both"/>
        <w:rPr>
          <w:rFonts w:hint="eastAsia"/>
          <w:lang w:val="en-US" w:eastAsia="zh-CN"/>
        </w:rPr>
      </w:pPr>
      <w:r>
        <w:rPr>
          <w:rFonts w:hint="default"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lang w:val="en-US" w:eastAsia="zh-CN"/>
        </w:rPr>
        <w:t>是积极参与疫情防控。</w:t>
      </w:r>
      <w:r>
        <w:rPr>
          <w:rFonts w:hint="eastAsia" w:ascii="仿宋_GB2312" w:hAnsi="仿宋" w:cs="Times New Roman"/>
          <w:szCs w:val="32"/>
          <w:lang w:val="en-US" w:eastAsia="zh-CN"/>
        </w:rPr>
        <w:t>根据党委政府关于做好新冠肺炎疫情防控工作的文件要求，把疫情防控作为当前压倒一切的重大政治任务，党组多次研究部署防控工作任务。机关制定了严格疫情防控措施，人员出入均有绿码验证。在8月份益阳再次发现新冠肺炎确诊病例和无症状感染者后，引导全市民营经济人士和全国益商担当作为，全力抗击疫情。号召市工商联系统各市属商协会、各异地益阳商会、各会员企业累计捐赠现金103万元，物资约139.31万元（其中医疗物资69.16万元，生活物资70.15），共计242.31万元。</w:t>
      </w:r>
    </w:p>
    <w:p>
      <w:pPr>
        <w:widowControl/>
        <w:numPr>
          <w:ilvl w:val="0"/>
          <w:numId w:val="1"/>
        </w:numPr>
        <w:spacing w:line="600" w:lineRule="exact"/>
        <w:ind w:left="0" w:leftChars="0" w:firstLine="632" w:firstLineChars="200"/>
        <w:rPr>
          <w:rFonts w:hint="default" w:ascii="黑体" w:hAnsi="黑体" w:eastAsia="黑体"/>
          <w:szCs w:val="32"/>
        </w:rPr>
      </w:pPr>
      <w:r>
        <w:rPr>
          <w:rFonts w:ascii="黑体" w:hAnsi="黑体" w:eastAsia="黑体"/>
          <w:szCs w:val="32"/>
        </w:rPr>
        <w:t>存在的问题及原因分析</w:t>
      </w:r>
      <w:r>
        <w:rPr>
          <w:rFonts w:hint="default" w:ascii="黑体" w:hAnsi="黑体" w:eastAsia="黑体"/>
          <w:szCs w:val="32"/>
        </w:rPr>
        <w:t xml:space="preserve"> </w:t>
      </w:r>
    </w:p>
    <w:p>
      <w:pPr>
        <w:pStyle w:val="2"/>
        <w:keepNext w:val="0"/>
        <w:keepLines w:val="0"/>
        <w:pageBreakBefore w:val="0"/>
        <w:kinsoku/>
        <w:wordWrap/>
        <w:overflowPunct/>
        <w:topLinePunct w:val="0"/>
        <w:autoSpaceDE/>
        <w:autoSpaceDN/>
        <w:bidi w:val="0"/>
        <w:adjustRightInd/>
        <w:snapToGrid/>
        <w:ind w:firstLine="632" w:firstLineChars="200"/>
        <w:textAlignment w:val="auto"/>
        <w:rPr>
          <w:rFonts w:hint="default" w:ascii="仿宋_GB2312" w:hAnsi="仿宋" w:eastAsia="仿宋_GB2312" w:cs="Times New Roman"/>
          <w:kern w:val="2"/>
          <w:sz w:val="32"/>
          <w:szCs w:val="32"/>
          <w:highlight w:val="none"/>
          <w:lang w:eastAsia="zh-CN" w:bidi="ar-SA"/>
        </w:rPr>
      </w:pPr>
      <w:r>
        <w:rPr>
          <w:rFonts w:hint="default" w:ascii="仿宋_GB2312" w:hAnsi="仿宋" w:eastAsia="仿宋_GB2312" w:cs="Times New Roman"/>
          <w:kern w:val="2"/>
          <w:sz w:val="32"/>
          <w:szCs w:val="32"/>
          <w:highlight w:val="none"/>
          <w:lang w:eastAsia="zh-CN" w:bidi="ar-SA"/>
        </w:rPr>
        <w:t>1.预算执行存在偏差</w:t>
      </w:r>
      <w:r>
        <w:rPr>
          <w:rFonts w:hint="default" w:ascii="仿宋_GB2312" w:hAnsi="仿宋" w:cs="Times New Roman"/>
          <w:kern w:val="2"/>
          <w:sz w:val="32"/>
          <w:szCs w:val="32"/>
          <w:highlight w:val="none"/>
          <w:lang w:eastAsia="zh-CN" w:bidi="ar-SA"/>
        </w:rPr>
        <w:t>。部分经费实际支出比预算偏高，缺口资金只能调剂其他资金，使得预算项目资金有交叉使用的情况。</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32" w:firstLineChars="200"/>
        <w:textAlignment w:val="auto"/>
        <w:rPr>
          <w:rFonts w:ascii="黑体" w:hAnsi="黑体" w:eastAsia="黑体"/>
          <w:szCs w:val="32"/>
          <w:highlight w:val="none"/>
        </w:rPr>
      </w:pPr>
      <w:r>
        <w:rPr>
          <w:rFonts w:ascii="黑体" w:hAnsi="黑体" w:eastAsia="黑体"/>
          <w:szCs w:val="32"/>
          <w:highlight w:val="none"/>
        </w:rPr>
        <w:t>下一步改进措施</w:t>
      </w:r>
    </w:p>
    <w:p>
      <w:pPr>
        <w:pStyle w:val="2"/>
        <w:keepNext w:val="0"/>
        <w:keepLines w:val="0"/>
        <w:pageBreakBefore w:val="0"/>
        <w:numPr>
          <w:ilvl w:val="0"/>
          <w:numId w:val="0"/>
        </w:numPr>
        <w:kinsoku/>
        <w:wordWrap/>
        <w:overflowPunct/>
        <w:topLinePunct w:val="0"/>
        <w:autoSpaceDE/>
        <w:autoSpaceDN/>
        <w:bidi w:val="0"/>
        <w:adjustRightInd/>
        <w:snapToGrid/>
        <w:ind w:firstLine="632" w:firstLineChars="200"/>
        <w:textAlignment w:val="auto"/>
        <w:rPr>
          <w:rFonts w:hint="default" w:ascii="仿宋_GB2312" w:hAnsi="仿宋" w:cs="Times New Roman"/>
          <w:kern w:val="2"/>
          <w:sz w:val="32"/>
          <w:szCs w:val="32"/>
          <w:highlight w:val="none"/>
          <w:lang w:eastAsia="zh-CN" w:bidi="ar-SA"/>
        </w:rPr>
      </w:pPr>
      <w:r>
        <w:rPr>
          <w:rFonts w:hint="default" w:ascii="仿宋_GB2312" w:hAnsi="仿宋" w:cs="Times New Roman"/>
          <w:kern w:val="2"/>
          <w:sz w:val="32"/>
          <w:szCs w:val="32"/>
          <w:highlight w:val="none"/>
          <w:lang w:eastAsia="zh-CN" w:bidi="ar-SA"/>
        </w:rPr>
        <w:t>1.强化内部管理，健全内控制度。做到“使用有预算、开支有标准、审核有程度”，加强对单位内部的人、财、物的管理，不断提高资金使用效益，提高单位整体支出绩效。</w:t>
      </w:r>
    </w:p>
    <w:p>
      <w:pPr>
        <w:keepNext w:val="0"/>
        <w:keepLines w:val="0"/>
        <w:pageBreakBefore w:val="0"/>
        <w:numPr>
          <w:ilvl w:val="0"/>
          <w:numId w:val="0"/>
        </w:numPr>
        <w:kinsoku/>
        <w:wordWrap/>
        <w:overflowPunct/>
        <w:topLinePunct w:val="0"/>
        <w:autoSpaceDE/>
        <w:autoSpaceDN/>
        <w:bidi w:val="0"/>
        <w:adjustRightInd/>
        <w:snapToGrid/>
        <w:ind w:firstLine="632" w:firstLineChars="200"/>
        <w:textAlignment w:val="auto"/>
        <w:rPr>
          <w:rFonts w:hint="default"/>
          <w:lang w:eastAsia="zh-CN"/>
        </w:rPr>
      </w:pPr>
      <w:r>
        <w:rPr>
          <w:rFonts w:hint="default" w:ascii="仿宋_GB2312" w:hAnsi="仿宋" w:cs="Times New Roman"/>
          <w:kern w:val="2"/>
          <w:sz w:val="32"/>
          <w:szCs w:val="32"/>
          <w:highlight w:val="none"/>
          <w:lang w:eastAsia="zh-CN" w:bidi="ar-SA"/>
        </w:rPr>
        <w:t>2.</w:t>
      </w:r>
      <w:r>
        <w:rPr>
          <w:rFonts w:hint="default"/>
          <w:lang w:eastAsia="zh-CN"/>
        </w:rPr>
        <w:t>建立以绩效为导向的预算编制模式。提高部门预算和整体支出绩效目标编制的科学性和前瞻性，提高预算预见度，避免项目支出与基本支出划分不准或预算支出与实际执行出现较大偏差的情况。</w:t>
      </w:r>
    </w:p>
    <w:p>
      <w:pPr>
        <w:widowControl/>
        <w:spacing w:line="600" w:lineRule="exact"/>
        <w:ind w:firstLine="632" w:firstLineChars="200"/>
        <w:rPr>
          <w:rFonts w:ascii="黑体" w:hAnsi="黑体" w:eastAsia="黑体"/>
          <w:szCs w:val="32"/>
        </w:rPr>
      </w:pPr>
      <w:r>
        <w:rPr>
          <w:rFonts w:ascii="黑体" w:hAnsi="黑体" w:eastAsia="黑体"/>
          <w:szCs w:val="32"/>
        </w:rPr>
        <w:t>九、部门整体支出绩效自评结果拟应用和公开情况</w:t>
      </w:r>
    </w:p>
    <w:p>
      <w:pPr>
        <w:widowControl/>
        <w:spacing w:line="600" w:lineRule="exact"/>
        <w:ind w:firstLine="632" w:firstLineChars="200"/>
        <w:jc w:val="left"/>
        <w:rPr>
          <w:rFonts w:hint="default" w:ascii="仿宋_GB2312" w:hAnsi="仿宋"/>
          <w:szCs w:val="32"/>
        </w:rPr>
      </w:pPr>
      <w:r>
        <w:rPr>
          <w:rFonts w:hint="default" w:ascii="仿宋_GB2312" w:hAnsi="仿宋"/>
          <w:szCs w:val="32"/>
        </w:rPr>
        <w:t>2021年部门整体支出绩效自评结果</w:t>
      </w:r>
      <w:r>
        <w:rPr>
          <w:rFonts w:hint="default" w:ascii="仿宋_GB2312" w:hAnsi="仿宋"/>
          <w:szCs w:val="32"/>
          <w:highlight w:val="none"/>
        </w:rPr>
        <w:t>优秀</w:t>
      </w:r>
      <w:r>
        <w:rPr>
          <w:rFonts w:hint="default" w:ascii="仿宋_GB2312" w:hAnsi="仿宋"/>
          <w:szCs w:val="32"/>
        </w:rPr>
        <w:t>，拟通过本单位网址及市财政局指定网站向社会公开，接受社会监督。</w:t>
      </w:r>
    </w:p>
    <w:p>
      <w:pPr>
        <w:widowControl/>
        <w:spacing w:line="600" w:lineRule="exact"/>
        <w:ind w:firstLine="632" w:firstLineChars="200"/>
        <w:jc w:val="left"/>
        <w:rPr>
          <w:rFonts w:ascii="仿宋_GB2312" w:hAnsi="仿宋"/>
          <w:szCs w:val="32"/>
        </w:rPr>
      </w:pPr>
      <w:r>
        <w:rPr>
          <w:rFonts w:ascii="仿宋_GB2312" w:hAnsi="仿宋"/>
          <w:szCs w:val="32"/>
        </w:rPr>
        <w:t>报告需要以下附件：</w:t>
      </w:r>
    </w:p>
    <w:p>
      <w:pPr>
        <w:widowControl/>
        <w:spacing w:line="600" w:lineRule="exact"/>
        <w:ind w:firstLine="632" w:firstLineChars="200"/>
        <w:jc w:val="left"/>
        <w:rPr>
          <w:rFonts w:ascii="仿宋_GB2312" w:hAnsi="仿宋"/>
          <w:szCs w:val="32"/>
        </w:rPr>
      </w:pPr>
      <w:r>
        <w:rPr>
          <w:rFonts w:ascii="仿宋_GB2312" w:hAnsi="仿宋"/>
          <w:szCs w:val="32"/>
        </w:rPr>
        <w:t>1、部门整体支出绩效评价基础数据表</w:t>
      </w:r>
    </w:p>
    <w:p>
      <w:pPr>
        <w:widowControl/>
        <w:spacing w:line="600" w:lineRule="exact"/>
        <w:ind w:firstLine="632" w:firstLineChars="200"/>
        <w:jc w:val="left"/>
        <w:rPr>
          <w:rFonts w:ascii="仿宋_GB2312" w:hAnsi="仿宋"/>
          <w:szCs w:val="32"/>
        </w:rPr>
      </w:pPr>
      <w:r>
        <w:rPr>
          <w:rFonts w:ascii="仿宋_GB2312" w:hAnsi="仿宋"/>
          <w:szCs w:val="32"/>
        </w:rPr>
        <w:t>2、部门整体支出绩效自评表</w:t>
      </w:r>
    </w:p>
    <w:p>
      <w:pPr>
        <w:widowControl/>
        <w:spacing w:line="600" w:lineRule="exact"/>
        <w:rPr>
          <w:rFonts w:ascii="Times New Roman" w:hAnsi="Times New Roman"/>
          <w:kern w:val="0"/>
          <w:sz w:val="21"/>
          <w:szCs w:val="21"/>
        </w:rPr>
      </w:pPr>
    </w:p>
    <w:p>
      <w:pPr>
        <w:widowControl/>
        <w:spacing w:line="600" w:lineRule="exact"/>
        <w:rPr>
          <w:rFonts w:ascii="Times New Roman" w:hAnsi="Times New Roman"/>
          <w:kern w:val="0"/>
          <w:sz w:val="21"/>
          <w:szCs w:val="21"/>
        </w:rPr>
      </w:pPr>
    </w:p>
    <w:p>
      <w:pPr>
        <w:widowControl/>
        <w:spacing w:line="600" w:lineRule="exact"/>
        <w:rPr>
          <w:rFonts w:ascii="Times New Roman" w:hAnsi="Times New Roman"/>
          <w:kern w:val="0"/>
          <w:sz w:val="21"/>
          <w:szCs w:val="21"/>
        </w:rPr>
      </w:pPr>
    </w:p>
    <w:p>
      <w:pPr>
        <w:widowControl/>
        <w:spacing w:line="600" w:lineRule="exact"/>
        <w:ind w:firstLine="632" w:firstLineChars="200"/>
        <w:rPr>
          <w:rFonts w:hint="eastAsia" w:ascii="黑体" w:hAnsi="黑体" w:eastAsia="黑体"/>
          <w:szCs w:val="32"/>
        </w:rPr>
      </w:pPr>
      <w:r>
        <w:rPr>
          <w:rFonts w:ascii="黑体" w:hAnsi="黑体" w:eastAsia="黑体"/>
          <w:szCs w:val="32"/>
        </w:rPr>
        <w:t>附件</w:t>
      </w:r>
      <w:r>
        <w:rPr>
          <w:rFonts w:hint="eastAsia" w:ascii="黑体" w:hAnsi="黑体" w:eastAsia="黑体"/>
          <w:szCs w:val="32"/>
        </w:rPr>
        <w:t>5</w:t>
      </w:r>
    </w:p>
    <w:p>
      <w:pPr>
        <w:spacing w:line="70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202</w:t>
      </w:r>
      <w:r>
        <w:rPr>
          <w:rFonts w:hint="default" w:ascii="方正小标宋简体" w:eastAsia="方正小标宋简体"/>
          <w:sz w:val="44"/>
          <w:szCs w:val="44"/>
        </w:rPr>
        <w:t>1</w:t>
      </w:r>
      <w:r>
        <w:rPr>
          <w:rFonts w:hint="eastAsia" w:ascii="方正小标宋简体" w:hAnsi="Times New Roman" w:eastAsia="方正小标宋简体"/>
          <w:sz w:val="44"/>
          <w:szCs w:val="44"/>
        </w:rPr>
        <w:t>年度</w:t>
      </w:r>
      <w:r>
        <w:rPr>
          <w:rFonts w:hint="default" w:ascii="方正小标宋简体" w:hAnsi="Times New Roman" w:eastAsia="方正小标宋简体"/>
          <w:sz w:val="44"/>
          <w:szCs w:val="44"/>
        </w:rPr>
        <w:t>益阳市工商联</w:t>
      </w:r>
      <w:r>
        <w:rPr>
          <w:rFonts w:hint="eastAsia" w:ascii="方正小标宋简体" w:hAnsi="Times New Roman" w:eastAsia="方正小标宋简体"/>
          <w:sz w:val="44"/>
          <w:szCs w:val="44"/>
        </w:rPr>
        <w:t>项目资金绩效自评报告</w:t>
      </w:r>
    </w:p>
    <w:p>
      <w:pPr>
        <w:spacing w:line="700" w:lineRule="exact"/>
        <w:jc w:val="center"/>
        <w:rPr>
          <w:rFonts w:hint="eastAsia" w:ascii="方正小标宋简体" w:hAnsi="Times New Roman" w:eastAsia="方正小标宋简体"/>
          <w:sz w:val="44"/>
          <w:szCs w:val="44"/>
        </w:rPr>
      </w:pPr>
    </w:p>
    <w:p>
      <w:pPr>
        <w:numPr>
          <w:ilvl w:val="0"/>
          <w:numId w:val="3"/>
        </w:numPr>
        <w:adjustRightInd w:val="0"/>
        <w:snapToGrid w:val="0"/>
        <w:spacing w:line="600" w:lineRule="exact"/>
        <w:ind w:firstLine="632" w:firstLineChars="200"/>
        <w:rPr>
          <w:rFonts w:ascii="黑体" w:hAnsi="黑体" w:eastAsia="黑体"/>
          <w:szCs w:val="32"/>
        </w:rPr>
      </w:pPr>
      <w:r>
        <w:rPr>
          <w:rFonts w:ascii="黑体" w:hAnsi="黑体" w:eastAsia="黑体"/>
          <w:szCs w:val="32"/>
        </w:rPr>
        <w:t>项目概况</w:t>
      </w:r>
    </w:p>
    <w:p>
      <w:pPr>
        <w:pStyle w:val="6"/>
        <w:widowControl/>
        <w:numPr>
          <w:ilvl w:val="0"/>
          <w:numId w:val="0"/>
        </w:numPr>
        <w:spacing w:line="600" w:lineRule="exact"/>
        <w:ind w:firstLine="632" w:firstLineChars="200"/>
        <w:rPr>
          <w:rFonts w:hint="default"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异地益阳商会奖励资金</w:t>
      </w:r>
      <w:r>
        <w:rPr>
          <w:rFonts w:hint="default" w:ascii="仿宋_GB2312" w:hAnsi="仿宋_GB2312" w:cs="仿宋_GB2312"/>
          <w:sz w:val="32"/>
          <w:szCs w:val="32"/>
          <w:lang w:eastAsia="zh-CN"/>
        </w:rPr>
        <w:t>。</w:t>
      </w:r>
    </w:p>
    <w:p>
      <w:pPr>
        <w:pStyle w:val="6"/>
        <w:widowControl/>
        <w:numPr>
          <w:ilvl w:val="0"/>
          <w:numId w:val="0"/>
        </w:numPr>
        <w:spacing w:line="600" w:lineRule="exact"/>
        <w:ind w:firstLine="632" w:firstLineChars="200"/>
        <w:rPr>
          <w:rFonts w:hint="default" w:ascii="黑体" w:hAnsi="黑体" w:eastAsia="黑体"/>
          <w:szCs w:val="32"/>
        </w:rPr>
      </w:pPr>
      <w:r>
        <w:rPr>
          <w:rFonts w:hint="eastAsia" w:ascii="仿宋_GB2312" w:hAnsi="仿宋_GB2312" w:eastAsia="仿宋_GB2312" w:cs="仿宋_GB2312"/>
          <w:sz w:val="32"/>
          <w:szCs w:val="32"/>
          <w:lang w:val="en-US" w:eastAsia="zh-CN"/>
        </w:rPr>
        <w:t>2018年3月21日</w:t>
      </w:r>
      <w:r>
        <w:rPr>
          <w:rFonts w:hint="eastAsia" w:ascii="仿宋_GB2312" w:hAnsi="仿宋_GB2312" w:cs="仿宋_GB2312"/>
          <w:sz w:val="32"/>
          <w:szCs w:val="32"/>
          <w:lang w:val="en-US" w:eastAsia="zh-CN"/>
        </w:rPr>
        <w:t>市委</w:t>
      </w:r>
      <w:r>
        <w:rPr>
          <w:rFonts w:hint="eastAsia" w:ascii="仿宋_GB2312" w:hAnsi="仿宋_GB2312" w:eastAsia="仿宋_GB2312" w:cs="仿宋_GB2312"/>
          <w:sz w:val="32"/>
          <w:szCs w:val="32"/>
          <w:lang w:val="en-US" w:eastAsia="zh-CN"/>
        </w:rPr>
        <w:t>书记办公会调度“汇智聚力 建设益阳”恳谈会上，市委</w:t>
      </w:r>
      <w:r>
        <w:rPr>
          <w:rFonts w:hint="eastAsia" w:ascii="仿宋_GB2312" w:hAnsi="仿宋_GB2312" w:cs="仿宋_GB2312"/>
          <w:sz w:val="32"/>
          <w:szCs w:val="32"/>
          <w:lang w:val="en-US" w:eastAsia="zh-CN"/>
        </w:rPr>
        <w:t>主要</w:t>
      </w:r>
      <w:r>
        <w:rPr>
          <w:rFonts w:hint="eastAsia" w:ascii="仿宋_GB2312" w:hAnsi="仿宋_GB2312" w:eastAsia="仿宋_GB2312" w:cs="仿宋_GB2312"/>
          <w:sz w:val="32"/>
          <w:szCs w:val="32"/>
          <w:lang w:val="en-US" w:eastAsia="zh-CN"/>
        </w:rPr>
        <w:t>领导决定对表现优秀、工作成绩突出的异地益阳商会给予奖励。</w:t>
      </w:r>
    </w:p>
    <w:p>
      <w:pPr>
        <w:numPr>
          <w:ilvl w:val="0"/>
          <w:numId w:val="3"/>
        </w:numPr>
        <w:adjustRightInd w:val="0"/>
        <w:snapToGrid w:val="0"/>
        <w:spacing w:line="600" w:lineRule="exact"/>
        <w:ind w:left="0" w:leftChars="0" w:firstLine="632" w:firstLineChars="200"/>
        <w:rPr>
          <w:rFonts w:hint="eastAsia" w:ascii="黑体" w:hAnsi="黑体" w:eastAsia="黑体"/>
          <w:szCs w:val="32"/>
        </w:rPr>
      </w:pPr>
      <w:r>
        <w:rPr>
          <w:rFonts w:hint="eastAsia" w:ascii="黑体" w:hAnsi="黑体" w:eastAsia="黑体"/>
          <w:szCs w:val="32"/>
        </w:rPr>
        <w:t>绩效自评工作开展情况</w:t>
      </w:r>
    </w:p>
    <w:p>
      <w:pPr>
        <w:pStyle w:val="6"/>
        <w:widowControl/>
        <w:numPr>
          <w:ilvl w:val="0"/>
          <w:numId w:val="0"/>
        </w:numPr>
        <w:spacing w:line="600" w:lineRule="exact"/>
        <w:ind w:firstLine="632" w:firstLineChars="200"/>
        <w:rPr>
          <w:rFonts w:hint="eastAsia" w:ascii="黑体" w:hAnsi="黑体" w:eastAsia="黑体"/>
          <w:szCs w:val="32"/>
        </w:rPr>
      </w:pPr>
      <w:r>
        <w:rPr>
          <w:rFonts w:hint="eastAsia" w:ascii="仿宋_GB2312" w:hAnsi="仿宋_GB2312" w:eastAsia="仿宋_GB2312" w:cs="仿宋_GB2312"/>
          <w:sz w:val="32"/>
          <w:szCs w:val="32"/>
          <w:lang w:val="en-US" w:eastAsia="zh-CN"/>
        </w:rPr>
        <w:t>对表现优秀、工作成绩突出的</w:t>
      </w:r>
      <w:r>
        <w:rPr>
          <w:rFonts w:hint="default" w:ascii="仿宋_GB2312" w:hAnsi="仿宋_GB2312" w:cs="仿宋_GB2312"/>
          <w:sz w:val="32"/>
          <w:szCs w:val="32"/>
          <w:lang w:eastAsia="zh-CN"/>
        </w:rPr>
        <w:t>17</w:t>
      </w:r>
      <w:r>
        <w:rPr>
          <w:rFonts w:hint="eastAsia" w:ascii="仿宋_GB2312" w:hAnsi="仿宋_GB2312" w:eastAsia="仿宋_GB2312" w:cs="仿宋_GB2312"/>
          <w:sz w:val="32"/>
          <w:szCs w:val="32"/>
          <w:lang w:val="en-US" w:eastAsia="zh-CN"/>
        </w:rPr>
        <w:t>家异地益阳商会给予奖励，20</w:t>
      </w:r>
      <w:r>
        <w:rPr>
          <w:rFonts w:hint="default" w:ascii="仿宋_GB2312" w:hAnsi="仿宋_GB2312" w:cs="仿宋_GB2312"/>
          <w:sz w:val="32"/>
          <w:szCs w:val="32"/>
          <w:lang w:eastAsia="zh-CN"/>
        </w:rPr>
        <w:t>21</w:t>
      </w:r>
      <w:r>
        <w:rPr>
          <w:rFonts w:hint="eastAsia" w:ascii="仿宋_GB2312" w:hAnsi="仿宋_GB2312" w:eastAsia="仿宋_GB2312" w:cs="仿宋_GB2312"/>
          <w:sz w:val="32"/>
          <w:szCs w:val="32"/>
          <w:lang w:val="en-US" w:eastAsia="zh-CN"/>
        </w:rPr>
        <w:t>年12月已经全部奖励到位</w:t>
      </w:r>
      <w:r>
        <w:rPr>
          <w:rFonts w:hint="eastAsia" w:ascii="仿宋_GB2312" w:hAnsi="仿宋_GB2312" w:cs="仿宋_GB2312"/>
          <w:sz w:val="32"/>
          <w:szCs w:val="32"/>
          <w:lang w:val="en-US" w:eastAsia="zh-CN"/>
        </w:rPr>
        <w:t>。</w:t>
      </w:r>
    </w:p>
    <w:p>
      <w:pPr>
        <w:numPr>
          <w:ilvl w:val="0"/>
          <w:numId w:val="3"/>
        </w:numPr>
        <w:adjustRightInd w:val="0"/>
        <w:snapToGrid w:val="0"/>
        <w:spacing w:line="600" w:lineRule="exact"/>
        <w:ind w:left="0" w:leftChars="0" w:firstLine="632" w:firstLineChars="200"/>
        <w:rPr>
          <w:rFonts w:hint="eastAsia" w:ascii="黑体" w:hAnsi="黑体" w:eastAsia="黑体"/>
          <w:szCs w:val="32"/>
        </w:rPr>
      </w:pPr>
      <w:r>
        <w:rPr>
          <w:rFonts w:hint="eastAsia" w:ascii="黑体" w:hAnsi="黑体" w:eastAsia="黑体"/>
          <w:szCs w:val="32"/>
        </w:rPr>
        <w:t>综合评价结论</w:t>
      </w:r>
    </w:p>
    <w:p>
      <w:pPr>
        <w:adjustRightInd w:val="0"/>
        <w:snapToGrid w:val="0"/>
        <w:spacing w:line="600" w:lineRule="exact"/>
        <w:ind w:firstLine="632" w:firstLineChars="200"/>
        <w:rPr>
          <w:rFonts w:hint="default" w:ascii="仿宋_GB2312" w:hAnsi="仿宋" w:cs="Times New Roman"/>
          <w:szCs w:val="32"/>
        </w:rPr>
      </w:pPr>
      <w:r>
        <w:rPr>
          <w:rFonts w:hint="default" w:ascii="仿宋_GB2312" w:hAnsi="仿宋" w:cs="Times New Roman"/>
          <w:szCs w:val="32"/>
        </w:rPr>
        <w:t>我会在2021年度项目资金绩效自评报告中得分为9</w:t>
      </w:r>
      <w:r>
        <w:rPr>
          <w:rFonts w:hint="default" w:ascii="仿宋_GB2312" w:hAnsi="仿宋" w:cs="Times New Roman"/>
          <w:szCs w:val="32"/>
        </w:rPr>
        <w:t>8</w:t>
      </w:r>
      <w:bookmarkStart w:id="0" w:name="_GoBack"/>
      <w:bookmarkEnd w:id="0"/>
      <w:r>
        <w:rPr>
          <w:rFonts w:hint="default" w:ascii="仿宋_GB2312" w:hAnsi="仿宋" w:cs="Times New Roman"/>
          <w:szCs w:val="32"/>
        </w:rPr>
        <w:t>分，评价等级为优秀。</w:t>
      </w:r>
    </w:p>
    <w:p>
      <w:pPr>
        <w:numPr>
          <w:ilvl w:val="0"/>
          <w:numId w:val="4"/>
        </w:numPr>
        <w:adjustRightInd w:val="0"/>
        <w:snapToGrid w:val="0"/>
        <w:spacing w:line="600" w:lineRule="exact"/>
        <w:ind w:firstLine="632" w:firstLineChars="200"/>
        <w:rPr>
          <w:rFonts w:hint="eastAsia" w:ascii="黑体" w:hAnsi="黑体" w:eastAsia="黑体"/>
          <w:szCs w:val="32"/>
        </w:rPr>
      </w:pPr>
      <w:r>
        <w:rPr>
          <w:rFonts w:hint="eastAsia" w:ascii="黑体" w:hAnsi="黑体" w:eastAsia="黑体"/>
          <w:szCs w:val="32"/>
        </w:rPr>
        <w:t>绩效目标实现情况分析</w:t>
      </w:r>
    </w:p>
    <w:p>
      <w:pPr>
        <w:widowControl/>
        <w:spacing w:line="600" w:lineRule="exact"/>
        <w:ind w:firstLine="632" w:firstLineChars="200"/>
        <w:rPr>
          <w:rFonts w:hint="eastAsia" w:ascii="楷体_GB2312" w:hAnsi="仿宋" w:eastAsia="楷体_GB2312"/>
          <w:szCs w:val="32"/>
        </w:rPr>
      </w:pPr>
      <w:r>
        <w:rPr>
          <w:rFonts w:hint="eastAsia" w:ascii="楷体_GB2312" w:hAnsi="仿宋" w:eastAsia="楷体_GB2312"/>
          <w:szCs w:val="32"/>
        </w:rPr>
        <w:t>（一）项目资金使用及管理情况</w:t>
      </w:r>
    </w:p>
    <w:p>
      <w:pPr>
        <w:adjustRightInd w:val="0"/>
        <w:snapToGrid w:val="0"/>
        <w:spacing w:line="600" w:lineRule="exact"/>
        <w:ind w:firstLine="632" w:firstLineChars="200"/>
        <w:rPr>
          <w:rFonts w:ascii="仿宋_GB2312" w:hAnsi="仿宋"/>
          <w:szCs w:val="32"/>
        </w:rPr>
      </w:pPr>
      <w:r>
        <w:rPr>
          <w:rFonts w:hint="eastAsia" w:ascii="仿宋_GB2312" w:hAnsi="仿宋"/>
          <w:szCs w:val="32"/>
        </w:rPr>
        <w:t>1、</w:t>
      </w:r>
      <w:r>
        <w:rPr>
          <w:rFonts w:ascii="仿宋_GB2312" w:hAnsi="仿宋"/>
          <w:szCs w:val="32"/>
        </w:rPr>
        <w:t>项目资金安排落实、总投入等情况分析。</w:t>
      </w:r>
    </w:p>
    <w:p>
      <w:pPr>
        <w:numPr>
          <w:ilvl w:val="0"/>
          <w:numId w:val="0"/>
        </w:numPr>
        <w:adjustRightInd w:val="0"/>
        <w:snapToGrid w:val="0"/>
        <w:spacing w:line="600" w:lineRule="exact"/>
        <w:ind w:firstLine="632" w:firstLineChars="200"/>
        <w:rPr>
          <w:rFonts w:hint="default" w:ascii="仿宋_GB2312" w:hAnsi="仿宋"/>
          <w:szCs w:val="32"/>
        </w:rPr>
      </w:pPr>
      <w:r>
        <w:rPr>
          <w:rFonts w:hint="default" w:ascii="仿宋_GB2312" w:hAnsi="仿宋"/>
          <w:szCs w:val="32"/>
          <w:highlight w:val="none"/>
        </w:rPr>
        <w:t>2021年7月30日</w:t>
      </w:r>
      <w:r>
        <w:rPr>
          <w:rFonts w:hint="default" w:ascii="仿宋_GB2312" w:hAnsi="仿宋"/>
          <w:szCs w:val="32"/>
        </w:rPr>
        <w:t>，在益阳市工商联701会议室召开了是工商联党组会议，专题研究了2021年度210万异地益阳商会奖励工作使用方案，资金使用计划如下：（1）奖励评选合格的</w:t>
      </w:r>
      <w:r>
        <w:rPr>
          <w:rFonts w:hint="default" w:ascii="仿宋_GB2312" w:hAnsi="仿宋_GB2312" w:cs="仿宋_GB2312"/>
          <w:sz w:val="32"/>
          <w:szCs w:val="32"/>
          <w:lang w:eastAsia="zh-CN"/>
        </w:rPr>
        <w:t>17</w:t>
      </w:r>
      <w:r>
        <w:rPr>
          <w:rFonts w:hint="eastAsia" w:ascii="仿宋_GB2312" w:hAnsi="仿宋_GB2312" w:eastAsia="仿宋_GB2312" w:cs="仿宋_GB2312"/>
          <w:sz w:val="32"/>
          <w:szCs w:val="32"/>
          <w:lang w:val="en-US" w:eastAsia="zh-CN"/>
        </w:rPr>
        <w:t>家异地益阳商会</w:t>
      </w:r>
      <w:r>
        <w:rPr>
          <w:rFonts w:hint="default" w:ascii="仿宋_GB2312" w:hAnsi="仿宋_GB2312" w:cs="仿宋_GB2312"/>
          <w:sz w:val="32"/>
          <w:szCs w:val="32"/>
          <w:lang w:eastAsia="zh-CN"/>
        </w:rPr>
        <w:t>158-160万元</w:t>
      </w:r>
      <w:r>
        <w:rPr>
          <w:rFonts w:hint="default" w:ascii="仿宋_GB2312" w:hAnsi="仿宋"/>
          <w:szCs w:val="32"/>
        </w:rPr>
        <w:t>；（2）益商天下发展联盟轮值主席单位联盟会议举办经费10万元；（3）评选奖励工作经费、对接联络异地益阳（湖南）商会工作经费及年底益商慰问经费</w:t>
      </w:r>
      <w:r>
        <w:rPr>
          <w:rFonts w:hint="default" w:ascii="仿宋_GB2312" w:hAnsi="仿宋"/>
          <w:szCs w:val="32"/>
          <w:highlight w:val="none"/>
        </w:rPr>
        <w:t>40-42万元（</w:t>
      </w:r>
      <w:r>
        <w:rPr>
          <w:rFonts w:hint="default" w:ascii="仿宋_GB2312" w:hAnsi="仿宋"/>
          <w:szCs w:val="32"/>
        </w:rPr>
        <w:t>不超过总额20%）。</w:t>
      </w:r>
    </w:p>
    <w:p>
      <w:pPr>
        <w:numPr>
          <w:ilvl w:val="0"/>
          <w:numId w:val="5"/>
        </w:numPr>
        <w:adjustRightInd w:val="0"/>
        <w:snapToGrid w:val="0"/>
        <w:spacing w:line="600" w:lineRule="exact"/>
        <w:ind w:left="0" w:leftChars="0" w:firstLine="632" w:firstLineChars="200"/>
        <w:rPr>
          <w:rFonts w:ascii="仿宋_GB2312" w:hAnsi="仿宋"/>
          <w:szCs w:val="32"/>
        </w:rPr>
      </w:pPr>
      <w:r>
        <w:rPr>
          <w:rFonts w:ascii="仿宋_GB2312" w:hAnsi="仿宋"/>
          <w:szCs w:val="32"/>
        </w:rPr>
        <w:t>项目资金实际使用情况分析。</w:t>
      </w:r>
    </w:p>
    <w:p>
      <w:pPr>
        <w:numPr>
          <w:ilvl w:val="0"/>
          <w:numId w:val="0"/>
        </w:numPr>
        <w:adjustRightInd w:val="0"/>
        <w:snapToGrid w:val="0"/>
        <w:spacing w:line="600" w:lineRule="exact"/>
        <w:ind w:firstLine="632" w:firstLineChars="200"/>
        <w:rPr>
          <w:rFonts w:hint="default" w:ascii="仿宋_GB2312" w:hAnsi="仿宋"/>
          <w:szCs w:val="32"/>
        </w:rPr>
      </w:pPr>
      <w:r>
        <w:rPr>
          <w:rFonts w:ascii="仿宋_GB2312" w:hAnsi="仿宋"/>
          <w:szCs w:val="32"/>
        </w:rPr>
        <w:t>根据《异地益阳商会评选考核奖励方案》，评选出</w:t>
      </w:r>
      <w:r>
        <w:rPr>
          <w:rFonts w:hint="default" w:ascii="仿宋_GB2312" w:hAnsi="仿宋"/>
          <w:szCs w:val="32"/>
        </w:rPr>
        <w:t>17家商会为优秀商会，奖励资金159万元。其中一等奖2家，评分为95分以上，16万元/家；二等奖4家，评分为90-94分，12万元/家；三等奖6家，评分为70-79分，9万元/家；考核合格奖5家，评分为60-69分，5万元/家。</w:t>
      </w:r>
      <w:r>
        <w:rPr>
          <w:rFonts w:hint="default" w:ascii="仿宋_GB2312" w:hAnsi="仿宋"/>
          <w:szCs w:val="32"/>
          <w:highlight w:val="none"/>
        </w:rPr>
        <w:t>拨付举办2021年益商天下发展联盟轮值主席会议的异地益阳商会10万元。另外安排41万元用于评选考核工作、外出走访调研、接待、慰问等工作。</w:t>
      </w:r>
    </w:p>
    <w:p>
      <w:pPr>
        <w:numPr>
          <w:ilvl w:val="0"/>
          <w:numId w:val="5"/>
        </w:numPr>
        <w:adjustRightInd w:val="0"/>
        <w:snapToGrid w:val="0"/>
        <w:spacing w:line="600" w:lineRule="exact"/>
        <w:ind w:left="0" w:leftChars="0" w:firstLine="632" w:firstLineChars="200"/>
        <w:rPr>
          <w:rFonts w:ascii="仿宋_GB2312" w:hAnsi="仿宋"/>
          <w:szCs w:val="32"/>
        </w:rPr>
      </w:pPr>
      <w:r>
        <w:rPr>
          <w:rFonts w:ascii="仿宋_GB2312" w:hAnsi="仿宋"/>
          <w:szCs w:val="32"/>
        </w:rPr>
        <w:t>项目资金管理情况分析，主要包括管理制度、办法的制订及执行情况。</w:t>
      </w:r>
    </w:p>
    <w:p>
      <w:pPr>
        <w:widowControl/>
        <w:spacing w:line="600" w:lineRule="exact"/>
        <w:ind w:firstLine="632" w:firstLineChars="200"/>
        <w:rPr>
          <w:rFonts w:hint="default" w:ascii="仿宋_GB2312" w:hAnsi="仿宋"/>
          <w:szCs w:val="32"/>
        </w:rPr>
      </w:pPr>
      <w:r>
        <w:rPr>
          <w:rFonts w:ascii="仿宋_GB2312" w:hAnsi="仿宋"/>
          <w:szCs w:val="32"/>
        </w:rPr>
        <w:t>制定了《异地益阳商会评优奖励办法》，严格根据方案评选出</w:t>
      </w:r>
      <w:r>
        <w:rPr>
          <w:rFonts w:hint="default" w:ascii="仿宋_GB2312" w:hAnsi="仿宋"/>
          <w:szCs w:val="32"/>
        </w:rPr>
        <w:t>17家</w:t>
      </w:r>
      <w:r>
        <w:rPr>
          <w:rFonts w:hint="eastAsia" w:ascii="仿宋_GB2312" w:hAnsi="仿宋_GB2312" w:eastAsia="仿宋_GB2312" w:cs="仿宋_GB2312"/>
          <w:sz w:val="32"/>
          <w:szCs w:val="32"/>
          <w:lang w:val="en-US" w:eastAsia="zh-CN"/>
        </w:rPr>
        <w:t>表现优秀、工作成绩突出的</w:t>
      </w:r>
      <w:r>
        <w:rPr>
          <w:rFonts w:hint="default" w:ascii="仿宋_GB2312" w:hAnsi="仿宋"/>
          <w:szCs w:val="32"/>
        </w:rPr>
        <w:t>异地商会。</w:t>
      </w:r>
    </w:p>
    <w:p>
      <w:pPr>
        <w:widowControl/>
        <w:numPr>
          <w:ilvl w:val="0"/>
          <w:numId w:val="0"/>
        </w:numPr>
        <w:spacing w:line="600" w:lineRule="exact"/>
        <w:ind w:leftChars="200"/>
        <w:rPr>
          <w:rFonts w:hint="eastAsia" w:ascii="楷体_GB2312" w:hAnsi="仿宋" w:eastAsia="楷体_GB2312"/>
          <w:szCs w:val="32"/>
        </w:rPr>
      </w:pPr>
      <w:r>
        <w:rPr>
          <w:rFonts w:hint="default" w:ascii="楷体_GB2312" w:hAnsi="仿宋" w:eastAsia="楷体_GB2312"/>
          <w:szCs w:val="32"/>
        </w:rPr>
        <w:t>（二）</w:t>
      </w:r>
      <w:r>
        <w:rPr>
          <w:rFonts w:hint="eastAsia" w:ascii="楷体_GB2312" w:hAnsi="仿宋" w:eastAsia="楷体_GB2312"/>
          <w:szCs w:val="32"/>
        </w:rPr>
        <w:t>总体绩效目标完成情况分析</w:t>
      </w:r>
    </w:p>
    <w:p>
      <w:pPr>
        <w:widowControl/>
        <w:numPr>
          <w:ilvl w:val="0"/>
          <w:numId w:val="0"/>
        </w:numPr>
        <w:spacing w:line="600" w:lineRule="exact"/>
        <w:ind w:firstLine="632" w:firstLineChars="200"/>
        <w:rPr>
          <w:rFonts w:hint="default" w:ascii="楷体_GB2312" w:hAnsi="仿宋" w:eastAsia="楷体_GB2312"/>
          <w:szCs w:val="32"/>
        </w:rPr>
      </w:pPr>
      <w:r>
        <w:rPr>
          <w:rFonts w:hint="default" w:ascii="仿宋_GB2312" w:hAnsi="仿宋"/>
          <w:szCs w:val="32"/>
        </w:rPr>
        <w:t>严格按照2021年度异地益阳商会奖励工作资金使用方案执行，奖励17家表现优秀、工作成绩突出的异地商会，已严格完成总体绩效目标。</w:t>
      </w:r>
    </w:p>
    <w:p>
      <w:pPr>
        <w:widowControl/>
        <w:spacing w:line="600" w:lineRule="exact"/>
        <w:ind w:firstLine="632" w:firstLineChars="200"/>
        <w:rPr>
          <w:rFonts w:hint="eastAsia" w:ascii="楷体_GB2312" w:hAnsi="仿宋" w:eastAsia="楷体_GB2312"/>
          <w:szCs w:val="32"/>
        </w:rPr>
      </w:pPr>
      <w:r>
        <w:rPr>
          <w:rFonts w:hint="eastAsia" w:ascii="楷体_GB2312" w:hAnsi="仿宋" w:eastAsia="楷体_GB2312"/>
          <w:szCs w:val="32"/>
        </w:rPr>
        <w:t>（三）绩效指标完成情况分析</w:t>
      </w:r>
    </w:p>
    <w:p>
      <w:pPr>
        <w:adjustRightInd w:val="0"/>
        <w:snapToGrid w:val="0"/>
        <w:spacing w:line="600" w:lineRule="exact"/>
        <w:ind w:firstLine="632" w:firstLineChars="200"/>
        <w:rPr>
          <w:rFonts w:ascii="仿宋_GB2312" w:hAnsi="仿宋"/>
          <w:szCs w:val="32"/>
        </w:rPr>
      </w:pPr>
      <w:r>
        <w:rPr>
          <w:rFonts w:ascii="仿宋_GB2312" w:hAnsi="仿宋"/>
          <w:szCs w:val="32"/>
        </w:rPr>
        <w:t>主要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numPr>
          <w:ilvl w:val="0"/>
          <w:numId w:val="0"/>
        </w:numPr>
        <w:adjustRightInd w:val="0"/>
        <w:snapToGrid w:val="0"/>
        <w:spacing w:line="600" w:lineRule="exact"/>
        <w:ind w:firstLine="632" w:firstLineChars="200"/>
        <w:rPr>
          <w:rFonts w:ascii="仿宋_GB2312" w:hAnsi="仿宋"/>
          <w:szCs w:val="32"/>
        </w:rPr>
      </w:pPr>
      <w:r>
        <w:rPr>
          <w:rFonts w:hint="default" w:ascii="仿宋_GB2312" w:hAnsi="仿宋"/>
          <w:szCs w:val="32"/>
        </w:rPr>
        <w:t>1.</w:t>
      </w:r>
      <w:r>
        <w:rPr>
          <w:rFonts w:ascii="仿宋_GB2312" w:hAnsi="仿宋"/>
          <w:szCs w:val="32"/>
        </w:rPr>
        <w:t>项目的经济性</w:t>
      </w:r>
    </w:p>
    <w:p>
      <w:pPr>
        <w:numPr>
          <w:ilvl w:val="0"/>
          <w:numId w:val="0"/>
        </w:numPr>
        <w:adjustRightInd w:val="0"/>
        <w:snapToGrid w:val="0"/>
        <w:spacing w:line="600" w:lineRule="exact"/>
        <w:ind w:firstLine="632" w:firstLineChars="200"/>
        <w:rPr>
          <w:rFonts w:hint="default" w:ascii="仿宋_GB2312" w:hAnsi="仿宋"/>
          <w:szCs w:val="32"/>
        </w:rPr>
      </w:pPr>
      <w:r>
        <w:rPr>
          <w:rFonts w:ascii="仿宋_GB2312" w:hAnsi="仿宋"/>
          <w:szCs w:val="32"/>
        </w:rPr>
        <w:t>在我会异地益阳商会奖励工作中，严格按照</w:t>
      </w:r>
      <w:r>
        <w:rPr>
          <w:rFonts w:hint="default" w:ascii="仿宋_GB2312" w:hAnsi="仿宋"/>
          <w:szCs w:val="32"/>
        </w:rPr>
        <w:t>2021年异地益阳商会奖励工作资金使用方案执行，将159万元用于奖励异地益阳商会，10万元用于</w:t>
      </w:r>
      <w:r>
        <w:rPr>
          <w:rFonts w:hint="default" w:ascii="仿宋_GB2312" w:hAnsi="仿宋"/>
          <w:szCs w:val="32"/>
          <w:highlight w:val="none"/>
        </w:rPr>
        <w:t>举办2021年益商天下发展联盟轮值主席会议，</w:t>
      </w:r>
      <w:r>
        <w:rPr>
          <w:rFonts w:hint="default" w:ascii="仿宋_GB2312" w:hAnsi="仿宋"/>
          <w:szCs w:val="32"/>
        </w:rPr>
        <w:t>41万用于评选考核工作、外出走访调研、接待、慰问等工作，严格控制了项目成本。</w:t>
      </w:r>
    </w:p>
    <w:p>
      <w:pPr>
        <w:numPr>
          <w:ilvl w:val="0"/>
          <w:numId w:val="0"/>
        </w:numPr>
        <w:adjustRightInd w:val="0"/>
        <w:snapToGrid w:val="0"/>
        <w:spacing w:line="600" w:lineRule="exact"/>
        <w:ind w:leftChars="200"/>
        <w:rPr>
          <w:rFonts w:ascii="仿宋_GB2312" w:hAnsi="仿宋"/>
          <w:szCs w:val="32"/>
        </w:rPr>
      </w:pPr>
      <w:r>
        <w:rPr>
          <w:rFonts w:hint="default" w:ascii="仿宋_GB2312" w:hAnsi="仿宋"/>
          <w:szCs w:val="32"/>
        </w:rPr>
        <w:t>2.</w:t>
      </w:r>
      <w:r>
        <w:rPr>
          <w:rFonts w:ascii="仿宋_GB2312" w:hAnsi="仿宋"/>
          <w:szCs w:val="32"/>
        </w:rPr>
        <w:t>项目的效率性</w:t>
      </w:r>
    </w:p>
    <w:p>
      <w:pPr>
        <w:numPr>
          <w:ilvl w:val="0"/>
          <w:numId w:val="0"/>
        </w:numPr>
        <w:adjustRightInd w:val="0"/>
        <w:snapToGrid w:val="0"/>
        <w:spacing w:line="600" w:lineRule="exact"/>
        <w:ind w:firstLine="632" w:firstLineChars="200"/>
        <w:rPr>
          <w:rFonts w:hint="default" w:ascii="仿宋_GB2312" w:hAnsi="仿宋"/>
          <w:szCs w:val="32"/>
        </w:rPr>
      </w:pPr>
      <w:r>
        <w:rPr>
          <w:rFonts w:hint="default" w:ascii="仿宋_GB2312" w:hAnsi="仿宋"/>
          <w:szCs w:val="32"/>
        </w:rPr>
        <w:t>2021年7月30日，在益阳市工商联701会议室召开了是工商联党组会议，专题研究了2021年度异地益阳商会奖励工作使用方案和《异地益阳商会评选奖励办法（试行）》，</w:t>
      </w:r>
      <w:r>
        <w:rPr>
          <w:rFonts w:hint="default" w:ascii="仿宋_GB2312" w:hAnsi="仿宋"/>
          <w:color w:val="000000" w:themeColor="text1"/>
          <w:szCs w:val="32"/>
          <w:highlight w:val="none"/>
          <w14:textFill>
            <w14:solidFill>
              <w14:schemeClr w14:val="tx1"/>
            </w14:solidFill>
          </w14:textFill>
        </w:rPr>
        <w:t>2021年10月</w:t>
      </w:r>
      <w:r>
        <w:rPr>
          <w:rFonts w:hint="default" w:ascii="仿宋_GB2312" w:hAnsi="仿宋"/>
          <w:szCs w:val="32"/>
        </w:rPr>
        <w:t>收到财政拨付的210万元异地益阳商会奖励资金，2021年12月13日，党组会议通过了2021年度异地益阳商会评选奖励结果，</w:t>
      </w:r>
      <w:r>
        <w:rPr>
          <w:rFonts w:hint="eastAsia" w:ascii="仿宋_GB2312" w:hAnsi="仿宋_GB2312" w:eastAsia="仿宋_GB2312" w:cs="仿宋_GB2312"/>
          <w:sz w:val="32"/>
          <w:szCs w:val="32"/>
          <w:lang w:val="en-US" w:eastAsia="zh-CN"/>
        </w:rPr>
        <w:t>20</w:t>
      </w:r>
      <w:r>
        <w:rPr>
          <w:rFonts w:hint="default" w:ascii="仿宋_GB2312" w:hAnsi="仿宋_GB2312" w:cs="仿宋_GB2312"/>
          <w:sz w:val="32"/>
          <w:szCs w:val="32"/>
          <w:lang w:eastAsia="zh-CN"/>
        </w:rPr>
        <w:t>21</w:t>
      </w:r>
      <w:r>
        <w:rPr>
          <w:rFonts w:hint="eastAsia" w:ascii="仿宋_GB2312" w:hAnsi="仿宋_GB2312" w:eastAsia="仿宋_GB2312" w:cs="仿宋_GB2312"/>
          <w:sz w:val="32"/>
          <w:szCs w:val="32"/>
          <w:lang w:val="en-US" w:eastAsia="zh-CN"/>
        </w:rPr>
        <w:t>年12月</w:t>
      </w:r>
      <w:r>
        <w:rPr>
          <w:rFonts w:hint="eastAsia" w:ascii="仿宋_GB2312" w:hAnsi="仿宋_GB2312" w:eastAsia="仿宋_GB2312" w:cs="仿宋_GB2312"/>
          <w:sz w:val="32"/>
          <w:szCs w:val="32"/>
          <w:highlight w:val="none"/>
          <w:lang w:val="en-US" w:eastAsia="zh-CN"/>
        </w:rPr>
        <w:t>已经全部奖励到位</w:t>
      </w:r>
      <w:r>
        <w:rPr>
          <w:rFonts w:hint="eastAsia" w:ascii="仿宋_GB2312" w:hAnsi="仿宋_GB2312" w:cs="仿宋_GB2312"/>
          <w:sz w:val="32"/>
          <w:szCs w:val="32"/>
          <w:lang w:val="en-US" w:eastAsia="zh-CN"/>
        </w:rPr>
        <w:t>。</w:t>
      </w:r>
    </w:p>
    <w:p>
      <w:pPr>
        <w:adjustRightInd w:val="0"/>
        <w:snapToGrid w:val="0"/>
        <w:spacing w:line="600" w:lineRule="exact"/>
        <w:ind w:firstLine="632" w:firstLineChars="200"/>
        <w:rPr>
          <w:rFonts w:hint="default" w:ascii="仿宋_GB2312" w:hAnsi="仿宋"/>
          <w:szCs w:val="32"/>
        </w:rPr>
      </w:pPr>
      <w:r>
        <w:rPr>
          <w:rFonts w:hint="default" w:ascii="仿宋_GB2312" w:hAnsi="仿宋"/>
          <w:szCs w:val="32"/>
        </w:rPr>
        <w:t>3.项目的可持续性</w:t>
      </w:r>
    </w:p>
    <w:p>
      <w:pPr>
        <w:adjustRightInd w:val="0"/>
        <w:snapToGrid w:val="0"/>
        <w:spacing w:line="600" w:lineRule="exact"/>
        <w:ind w:firstLine="632" w:firstLineChars="200"/>
        <w:rPr>
          <w:rFonts w:hint="default" w:ascii="仿宋_GB2312" w:hAnsi="仿宋" w:cs="Times New Roman"/>
          <w:szCs w:val="32"/>
        </w:rPr>
      </w:pPr>
      <w:r>
        <w:rPr>
          <w:rFonts w:hint="eastAsia" w:ascii="仿宋_GB2312" w:hAnsi="仿宋" w:cs="Times New Roman"/>
          <w:szCs w:val="32"/>
          <w:lang w:eastAsia="zh-CN"/>
        </w:rPr>
        <w:t>通过开展异地益阳商会奖励项目，加强异地益阳商会成为推介益阳的有效载体、区域合作的宝贵资源、招商引资的重要抓手、凝聚益商的基础平台提高异地益阳商会在招商引资中发挥重要作用</w:t>
      </w:r>
      <w:r>
        <w:rPr>
          <w:rFonts w:hint="default" w:ascii="仿宋_GB2312" w:hAnsi="仿宋" w:cs="Times New Roman"/>
          <w:szCs w:val="32"/>
          <w:lang w:eastAsia="zh-CN"/>
        </w:rPr>
        <w:t>。</w:t>
      </w:r>
    </w:p>
    <w:p>
      <w:pPr>
        <w:numPr>
          <w:ilvl w:val="0"/>
          <w:numId w:val="4"/>
        </w:numPr>
        <w:adjustRightInd w:val="0"/>
        <w:snapToGrid w:val="0"/>
        <w:spacing w:line="600" w:lineRule="exact"/>
        <w:ind w:firstLine="632" w:firstLineChars="200"/>
        <w:rPr>
          <w:rFonts w:hint="eastAsia" w:ascii="黑体" w:hAnsi="黑体" w:eastAsia="黑体"/>
          <w:szCs w:val="32"/>
        </w:rPr>
      </w:pPr>
      <w:r>
        <w:rPr>
          <w:rFonts w:hint="eastAsia" w:ascii="黑体" w:hAnsi="黑体" w:eastAsia="黑体"/>
          <w:szCs w:val="32"/>
        </w:rPr>
        <w:t>存在的问题和改进措施</w:t>
      </w:r>
    </w:p>
    <w:p>
      <w:pPr>
        <w:adjustRightInd w:val="0"/>
        <w:snapToGrid w:val="0"/>
        <w:spacing w:line="600" w:lineRule="exact"/>
        <w:ind w:firstLine="632" w:firstLineChars="200"/>
        <w:rPr>
          <w:rFonts w:hint="default" w:ascii="仿宋_GB2312" w:hAnsi="仿宋"/>
          <w:szCs w:val="32"/>
          <w:highlight w:val="none"/>
        </w:rPr>
      </w:pPr>
      <w:r>
        <w:rPr>
          <w:rFonts w:hint="default" w:ascii="仿宋_GB2312" w:hAnsi="仿宋"/>
          <w:szCs w:val="32"/>
          <w:highlight w:val="none"/>
        </w:rPr>
        <w:t>无</w:t>
      </w:r>
    </w:p>
    <w:p>
      <w:pPr>
        <w:numPr>
          <w:ilvl w:val="0"/>
          <w:numId w:val="4"/>
        </w:numPr>
        <w:adjustRightInd w:val="0"/>
        <w:snapToGrid w:val="0"/>
        <w:spacing w:line="600" w:lineRule="exact"/>
        <w:ind w:firstLine="632" w:firstLineChars="200"/>
        <w:rPr>
          <w:rFonts w:hint="eastAsia" w:ascii="黑体" w:hAnsi="黑体" w:eastAsia="黑体"/>
          <w:szCs w:val="32"/>
        </w:rPr>
      </w:pPr>
      <w:r>
        <w:rPr>
          <w:rFonts w:hint="eastAsia" w:ascii="黑体" w:hAnsi="黑体" w:eastAsia="黑体"/>
          <w:szCs w:val="32"/>
        </w:rPr>
        <w:t>绩效自评结果拟应用和公开情况</w:t>
      </w:r>
    </w:p>
    <w:p>
      <w:pPr>
        <w:numPr>
          <w:ilvl w:val="0"/>
          <w:numId w:val="0"/>
        </w:numPr>
        <w:adjustRightInd w:val="0"/>
        <w:snapToGrid w:val="0"/>
        <w:spacing w:line="600" w:lineRule="exact"/>
        <w:ind w:firstLine="632" w:firstLineChars="200"/>
        <w:rPr>
          <w:rFonts w:hint="default" w:ascii="仿宋_GB2312" w:hAnsi="仿宋_GB2312" w:cs="仿宋_GB2312"/>
          <w:sz w:val="32"/>
          <w:szCs w:val="32"/>
          <w:lang w:eastAsia="zh-CN"/>
        </w:rPr>
      </w:pPr>
      <w:r>
        <w:rPr>
          <w:rFonts w:hint="default" w:ascii="仿宋_GB2312" w:hAnsi="仿宋_GB2312" w:cs="仿宋_GB2312"/>
          <w:sz w:val="32"/>
          <w:szCs w:val="32"/>
          <w:lang w:eastAsia="zh-CN"/>
        </w:rPr>
        <w:t>已公开</w:t>
      </w:r>
    </w:p>
    <w:p>
      <w:pPr>
        <w:numPr>
          <w:ilvl w:val="0"/>
          <w:numId w:val="4"/>
        </w:numPr>
        <w:adjustRightInd w:val="0"/>
        <w:snapToGrid w:val="0"/>
        <w:spacing w:line="600" w:lineRule="exact"/>
        <w:ind w:firstLine="632" w:firstLineChars="200"/>
        <w:rPr>
          <w:rFonts w:hint="eastAsia" w:ascii="黑体" w:hAnsi="黑体" w:eastAsia="黑体"/>
          <w:szCs w:val="32"/>
        </w:rPr>
      </w:pPr>
      <w:r>
        <w:rPr>
          <w:rFonts w:hint="eastAsia" w:ascii="黑体" w:hAnsi="黑体" w:eastAsia="黑体"/>
          <w:szCs w:val="32"/>
        </w:rPr>
        <w:t>其他需要说明的问题</w:t>
      </w:r>
    </w:p>
    <w:p>
      <w:pPr>
        <w:numPr>
          <w:ilvl w:val="0"/>
          <w:numId w:val="0"/>
        </w:numPr>
        <w:adjustRightInd w:val="0"/>
        <w:snapToGrid w:val="0"/>
        <w:spacing w:line="600" w:lineRule="exact"/>
        <w:ind w:firstLine="474" w:firstLineChars="150"/>
        <w:rPr>
          <w:rFonts w:hint="eastAsia" w:ascii="黑体" w:hAnsi="黑体" w:eastAsia="黑体"/>
          <w:szCs w:val="32"/>
        </w:rPr>
      </w:pPr>
      <w:r>
        <w:rPr>
          <w:rFonts w:hint="eastAsia" w:ascii="仿宋_GB2312" w:hAnsi="仿宋_GB2312" w:eastAsia="仿宋_GB2312" w:cs="仿宋_GB2312"/>
          <w:sz w:val="32"/>
          <w:szCs w:val="32"/>
          <w:lang w:val="en-US" w:eastAsia="zh-CN"/>
        </w:rPr>
        <w:t xml:space="preserve"> 此项奖励工作为</w:t>
      </w:r>
      <w:r>
        <w:rPr>
          <w:rFonts w:hint="eastAsia" w:ascii="仿宋_GB2312" w:hAnsi="仿宋_GB2312" w:cs="仿宋_GB2312"/>
          <w:sz w:val="32"/>
          <w:szCs w:val="32"/>
          <w:lang w:val="en-US" w:eastAsia="zh-CN"/>
        </w:rPr>
        <w:t>市委政府交办我单位的</w:t>
      </w:r>
      <w:r>
        <w:rPr>
          <w:rFonts w:hint="eastAsia" w:ascii="仿宋_GB2312" w:hAnsi="仿宋_GB2312" w:eastAsia="仿宋_GB2312" w:cs="仿宋_GB2312"/>
          <w:sz w:val="32"/>
          <w:szCs w:val="32"/>
          <w:lang w:val="en-US" w:eastAsia="zh-CN"/>
        </w:rPr>
        <w:t>常年项目，以后将逐</w:t>
      </w:r>
      <w:r>
        <w:rPr>
          <w:rFonts w:hint="eastAsia" w:ascii="仿宋_GB2312" w:hAnsi="仿宋_GB2312" w:cs="仿宋_GB2312"/>
          <w:sz w:val="32"/>
          <w:szCs w:val="32"/>
          <w:lang w:val="en-US" w:eastAsia="zh-CN"/>
        </w:rPr>
        <w:t>年</w:t>
      </w:r>
      <w:r>
        <w:rPr>
          <w:rFonts w:hint="eastAsia" w:ascii="仿宋_GB2312" w:hAnsi="仿宋_GB2312" w:eastAsia="仿宋_GB2312" w:cs="仿宋_GB2312"/>
          <w:sz w:val="32"/>
          <w:szCs w:val="32"/>
          <w:lang w:val="en-US" w:eastAsia="zh-CN"/>
        </w:rPr>
        <w:t>增加被奖励</w:t>
      </w:r>
      <w:r>
        <w:rPr>
          <w:rFonts w:hint="eastAsia" w:ascii="仿宋_GB2312" w:hAnsi="仿宋_GB2312" w:cs="仿宋_GB2312"/>
          <w:sz w:val="32"/>
          <w:szCs w:val="32"/>
          <w:lang w:val="en-US" w:eastAsia="zh-CN"/>
        </w:rPr>
        <w:t>异地益阳</w:t>
      </w:r>
      <w:r>
        <w:rPr>
          <w:rFonts w:hint="eastAsia" w:ascii="仿宋_GB2312" w:hAnsi="仿宋_GB2312" w:eastAsia="仿宋_GB2312" w:cs="仿宋_GB2312"/>
          <w:sz w:val="32"/>
          <w:szCs w:val="32"/>
          <w:lang w:val="en-US" w:eastAsia="zh-CN"/>
        </w:rPr>
        <w:t>商会，</w:t>
      </w:r>
      <w:r>
        <w:rPr>
          <w:rFonts w:hint="eastAsia" w:ascii="仿宋_GB2312" w:hAnsi="仿宋_GB2312" w:eastAsia="仿宋_GB2312" w:cs="仿宋_GB2312"/>
          <w:b w:val="0"/>
          <w:bCs w:val="0"/>
          <w:sz w:val="32"/>
          <w:szCs w:val="32"/>
          <w:shd w:val="clear" w:color="auto" w:fill="FFFFFF"/>
          <w:lang w:eastAsia="zh-CN"/>
        </w:rPr>
        <w:t>提高异地益阳商会在招商引资中发挥重要作用。</w:t>
      </w:r>
    </w:p>
    <w:p>
      <w:pPr>
        <w:widowControl/>
        <w:spacing w:line="600" w:lineRule="exact"/>
        <w:ind w:firstLine="645"/>
        <w:jc w:val="left"/>
        <w:rPr>
          <w:rFonts w:hint="eastAsia" w:ascii="仿宋" w:hAnsi="仿宋" w:eastAsia="仿宋"/>
          <w:szCs w:val="32"/>
        </w:rPr>
      </w:pPr>
    </w:p>
    <w:p>
      <w:pPr>
        <w:widowControl/>
        <w:spacing w:line="600" w:lineRule="exact"/>
        <w:ind w:firstLine="632" w:firstLineChars="200"/>
      </w:pPr>
      <w:r>
        <w:rPr>
          <w:rFonts w:hint="eastAsia" w:ascii="仿宋_GB2312" w:hAnsi="仿宋"/>
          <w:szCs w:val="32"/>
        </w:rPr>
        <w:t>附件</w:t>
      </w:r>
      <w:r>
        <w:rPr>
          <w:rFonts w:ascii="仿宋_GB2312" w:hAnsi="仿宋"/>
          <w:szCs w:val="32"/>
        </w:rPr>
        <w:t>：项目支出绩效自评表</w:t>
      </w:r>
      <w:r>
        <w:rPr>
          <w:rFonts w:hint="default" w:ascii="黑体" w:hAnsi="黑体" w:eastAsia="黑体"/>
          <w:szCs w:val="32"/>
        </w:rPr>
        <w:t xml:space="preserve">                                                                                                                 </w:t>
      </w:r>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00" w:right="360" w:firstLine="360"/>
      <w:rPr>
        <w:rFonts w:hint="eastAsia"/>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7FCC9C"/>
    <w:multiLevelType w:val="singleLevel"/>
    <w:tmpl w:val="BB7FCC9C"/>
    <w:lvl w:ilvl="0" w:tentative="0">
      <w:start w:val="1"/>
      <w:numFmt w:val="chineseCounting"/>
      <w:suff w:val="nothing"/>
      <w:lvlText w:val="（%1）"/>
      <w:lvlJc w:val="left"/>
      <w:rPr>
        <w:rFonts w:hint="eastAsia"/>
      </w:rPr>
    </w:lvl>
  </w:abstractNum>
  <w:abstractNum w:abstractNumId="1">
    <w:nsid w:val="BCCF2C08"/>
    <w:multiLevelType w:val="singleLevel"/>
    <w:tmpl w:val="BCCF2C08"/>
    <w:lvl w:ilvl="0" w:tentative="0">
      <w:start w:val="4"/>
      <w:numFmt w:val="chineseCounting"/>
      <w:suff w:val="nothing"/>
      <w:lvlText w:val="%1、"/>
      <w:lvlJc w:val="left"/>
      <w:rPr>
        <w:rFonts w:hint="eastAsia"/>
      </w:rPr>
    </w:lvl>
  </w:abstractNum>
  <w:abstractNum w:abstractNumId="2">
    <w:nsid w:val="FD9DBAB3"/>
    <w:multiLevelType w:val="singleLevel"/>
    <w:tmpl w:val="FD9DBAB3"/>
    <w:lvl w:ilvl="0" w:tentative="0">
      <w:start w:val="1"/>
      <w:numFmt w:val="decimal"/>
      <w:suff w:val="nothing"/>
      <w:lvlText w:val="%1、"/>
      <w:lvlJc w:val="left"/>
    </w:lvl>
  </w:abstractNum>
  <w:abstractNum w:abstractNumId="3">
    <w:nsid w:val="FF6CF1EF"/>
    <w:multiLevelType w:val="singleLevel"/>
    <w:tmpl w:val="FF6CF1EF"/>
    <w:lvl w:ilvl="0" w:tentative="0">
      <w:start w:val="1"/>
      <w:numFmt w:val="chineseCounting"/>
      <w:suff w:val="nothing"/>
      <w:lvlText w:val="%1、"/>
      <w:lvlJc w:val="left"/>
      <w:rPr>
        <w:rFonts w:hint="eastAsia"/>
      </w:rPr>
    </w:lvl>
  </w:abstractNum>
  <w:abstractNum w:abstractNumId="4">
    <w:nsid w:val="5AF62A32"/>
    <w:multiLevelType w:val="singleLevel"/>
    <w:tmpl w:val="5AF62A32"/>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B5910"/>
    <w:rsid w:val="3C5D5CE8"/>
    <w:rsid w:val="3FEB5910"/>
    <w:rsid w:val="7DBFF1BA"/>
    <w:rsid w:val="7F6F9FDE"/>
    <w:rsid w:val="7FF2C517"/>
    <w:rsid w:val="F4FA6610"/>
    <w:rsid w:val="FBEEC992"/>
    <w:rsid w:val="FBFE1EE4"/>
    <w:rsid w:val="FF6E1312"/>
    <w:rsid w:val="FFA916C7"/>
    <w:rsid w:val="FFBFD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99"/>
  </w:style>
  <w:style w:type="paragraph" w:styleId="3">
    <w:name w:val="footer"/>
    <w:basedOn w:val="1"/>
    <w:qFormat/>
    <w:uiPriority w:val="0"/>
    <w:pPr>
      <w:tabs>
        <w:tab w:val="center" w:pos="4153"/>
        <w:tab w:val="right" w:pos="8306"/>
      </w:tabs>
      <w:snapToGrid w:val="0"/>
      <w:jc w:val="left"/>
    </w:pPr>
    <w:rPr>
      <w:sz w:val="18"/>
      <w:szCs w:val="18"/>
    </w:rPr>
  </w:style>
  <w:style w:type="paragraph" w:styleId="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2022-04-20T16:27:00Z</dcterms:created>
  <dc:creator>kylin</dc:creator>
  <cp:lastModifiedBy>kylin</cp:lastModifiedBy>
  <cp:lastPrinted>2022-04-24T16:25:44Z</cp:lastPrinted>
  <dcterms:modified xsi:type="dcterms:W3CDTF">2022-04-24T16:35:47Z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